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732597F1" w14:textId="1F69B469" w:rsidR="005A0CFE" w:rsidRPr="00855931" w:rsidRDefault="00855931" w:rsidP="005A0CFE">
      <w:pPr>
        <w:pStyle w:val="Subtitle"/>
      </w:pPr>
      <w:r w:rsidRPr="00855931">
        <w:t>Chief Finance Officer</w:t>
      </w:r>
      <w:r w:rsidR="005A0CFE" w:rsidRPr="00855931">
        <w:br/>
        <w:t xml:space="preserve">(SES Band </w:t>
      </w:r>
      <w:r w:rsidRPr="00855931">
        <w:t>2</w:t>
      </w:r>
      <w:r w:rsidR="005A0CFE" w:rsidRPr="00855931">
        <w:t>)</w:t>
      </w:r>
    </w:p>
    <w:p w14:paraId="0442E07B" w14:textId="6EB16ADA" w:rsidR="005A0CFE" w:rsidRPr="005A0CFE" w:rsidRDefault="005A0CFE" w:rsidP="00F418E8">
      <w:pPr>
        <w:pStyle w:val="Subtitle"/>
        <w:numPr>
          <w:ilvl w:val="0"/>
          <w:numId w:val="0"/>
        </w:numPr>
      </w:pPr>
      <w:r w:rsidRPr="00855931">
        <w:t>Department</w:t>
      </w:r>
      <w:r w:rsidR="00855931" w:rsidRPr="00855931">
        <w:t xml:space="preserve"> of Home Affairs</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66DA258A" w:rsidR="005A0CFE" w:rsidRPr="005A0CFE" w:rsidRDefault="005A0CFE" w:rsidP="005A0CFE">
      <w:pPr>
        <w:jc w:val="center"/>
        <w:rPr>
          <w:b/>
        </w:rPr>
      </w:pPr>
      <w:r w:rsidRPr="005A0CFE">
        <w:rPr>
          <w:b/>
        </w:rPr>
        <w:t xml:space="preserve">Reference No:  </w:t>
      </w:r>
      <w:r w:rsidR="00855931">
        <w:rPr>
          <w:b/>
        </w:rPr>
        <w:t>949</w:t>
      </w:r>
    </w:p>
    <w:p w14:paraId="3D72C7FD" w14:textId="487163EA" w:rsidR="005A0CFE" w:rsidRPr="005A0CFE" w:rsidRDefault="005A0CFE" w:rsidP="005A0CFE">
      <w:pPr>
        <w:jc w:val="center"/>
        <w:rPr>
          <w:b/>
        </w:rPr>
      </w:pPr>
      <w:r w:rsidRPr="005A0CFE">
        <w:rPr>
          <w:b/>
        </w:rPr>
        <w:t>Close date</w:t>
      </w:r>
      <w:r w:rsidRPr="00CA4E49">
        <w:rPr>
          <w:b/>
        </w:rPr>
        <w:t xml:space="preserve">: </w:t>
      </w:r>
      <w:r w:rsidR="00560670" w:rsidRPr="00B4123B">
        <w:rPr>
          <w:b/>
        </w:rPr>
        <w:t>11.</w:t>
      </w:r>
      <w:r w:rsidR="00B4123B" w:rsidRPr="00B4123B">
        <w:rPr>
          <w:b/>
        </w:rPr>
        <w:t>30</w:t>
      </w:r>
      <w:r w:rsidRPr="00B4123B">
        <w:rPr>
          <w:b/>
        </w:rPr>
        <w:t xml:space="preserve">pm AEST </w:t>
      </w:r>
      <w:r w:rsidR="00CB1E2C">
        <w:rPr>
          <w:b/>
        </w:rPr>
        <w:t>Friday 13</w:t>
      </w:r>
      <w:r w:rsidR="00B4123B" w:rsidRPr="00B4123B">
        <w:rPr>
          <w:b/>
        </w:rPr>
        <w:t xml:space="preserve"> September</w:t>
      </w:r>
      <w:r w:rsidRPr="00B4123B">
        <w:rPr>
          <w:b/>
        </w:rPr>
        <w:t xml:space="preserve"> 20</w:t>
      </w:r>
      <w:r w:rsidR="00442F92" w:rsidRPr="00B4123B">
        <w:rPr>
          <w:b/>
        </w:rPr>
        <w:t>2</w:t>
      </w:r>
      <w:r w:rsidR="00855931" w:rsidRPr="00B4123B">
        <w:rPr>
          <w:b/>
        </w:rPr>
        <w:t>4</w:t>
      </w:r>
    </w:p>
    <w:p w14:paraId="776F053B" w14:textId="77777777" w:rsidR="00F83C98" w:rsidRDefault="00F83C98" w:rsidP="00C3636A"/>
    <w:p w14:paraId="79289DD8" w14:textId="77777777" w:rsidR="00F83C98" w:rsidRDefault="00F83C98">
      <w:r>
        <w:br w:type="page"/>
      </w:r>
    </w:p>
    <w:p w14:paraId="263C5996" w14:textId="1D00FDED" w:rsidR="005A0CFE" w:rsidRPr="005A0CFE" w:rsidRDefault="00855931" w:rsidP="005A0CFE">
      <w:pPr>
        <w:pStyle w:val="Heading1"/>
      </w:pPr>
      <w:r>
        <w:lastRenderedPageBreak/>
        <w:t>Chief Finance Officer, SES Band 2, Department of Home Affairs</w:t>
      </w:r>
    </w:p>
    <w:p w14:paraId="71AB5089" w14:textId="77777777"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EIGTable1"/>
        <w:tblW w:w="0" w:type="auto"/>
        <w:tblCellMar>
          <w:left w:w="0" w:type="dxa"/>
        </w:tblCellMar>
        <w:tblLook w:val="04A0" w:firstRow="1" w:lastRow="0" w:firstColumn="1" w:lastColumn="0" w:noHBand="0" w:noVBand="1"/>
      </w:tblPr>
      <w:tblGrid>
        <w:gridCol w:w="1411"/>
        <w:gridCol w:w="3373"/>
        <w:gridCol w:w="918"/>
        <w:gridCol w:w="3936"/>
      </w:tblGrid>
      <w:tr w:rsidR="0048091D" w:rsidRPr="00D63087" w14:paraId="6463399F" w14:textId="77777777" w:rsidTr="00487914">
        <w:tc>
          <w:tcPr>
            <w:tcW w:w="1418" w:type="dxa"/>
          </w:tcPr>
          <w:p w14:paraId="1B14FB49" w14:textId="77777777" w:rsidR="0048091D" w:rsidRPr="00D63087" w:rsidRDefault="0048091D" w:rsidP="00487914">
            <w:pPr>
              <w:rPr>
                <w:rStyle w:val="Strong"/>
              </w:rPr>
            </w:pPr>
            <w:r w:rsidRPr="00D63087">
              <w:rPr>
                <w:rStyle w:val="Strong"/>
              </w:rPr>
              <w:t>Reports to:</w:t>
            </w:r>
          </w:p>
        </w:tc>
        <w:tc>
          <w:tcPr>
            <w:tcW w:w="3400" w:type="dxa"/>
          </w:tcPr>
          <w:p w14:paraId="0EF8ED39" w14:textId="457EB201" w:rsidR="0048091D" w:rsidRPr="00D63087" w:rsidRDefault="00855931" w:rsidP="00487914">
            <w:r>
              <w:t>Chief Operating Officer</w:t>
            </w:r>
          </w:p>
        </w:tc>
        <w:tc>
          <w:tcPr>
            <w:tcW w:w="852" w:type="dxa"/>
          </w:tcPr>
          <w:p w14:paraId="7EB1650A" w14:textId="2F6B99F2" w:rsidR="0048091D" w:rsidRPr="00D63087" w:rsidRDefault="00855931" w:rsidP="00487914">
            <w:pPr>
              <w:rPr>
                <w:rStyle w:val="Strong"/>
              </w:rPr>
            </w:pPr>
            <w:r>
              <w:rPr>
                <w:rStyle w:val="Strong"/>
              </w:rPr>
              <w:t>Location:</w:t>
            </w:r>
          </w:p>
        </w:tc>
        <w:tc>
          <w:tcPr>
            <w:tcW w:w="3968" w:type="dxa"/>
          </w:tcPr>
          <w:p w14:paraId="05549FC1" w14:textId="77777777" w:rsidR="00396E5C" w:rsidRDefault="00855931" w:rsidP="00855931">
            <w:r w:rsidRPr="00396E5C">
              <w:t>Canberra</w:t>
            </w:r>
            <w:r w:rsidR="00396E5C" w:rsidRPr="00396E5C">
              <w:t>, ACT</w:t>
            </w:r>
            <w:r w:rsidR="00396E5C">
              <w:t xml:space="preserve"> </w:t>
            </w:r>
          </w:p>
          <w:p w14:paraId="767E3FD1" w14:textId="395D7D8E" w:rsidR="0048091D" w:rsidRPr="00D63087" w:rsidRDefault="00396E5C" w:rsidP="00855931">
            <w:r>
              <w:t>O</w:t>
            </w:r>
            <w:r w:rsidRPr="00396E5C">
              <w:t>ther locations may be considered by exception</w:t>
            </w:r>
            <w:r>
              <w:t xml:space="preserve">. </w:t>
            </w:r>
          </w:p>
        </w:tc>
      </w:tr>
      <w:tr w:rsidR="0048091D" w:rsidRPr="00D63087" w14:paraId="57FB434D" w14:textId="77777777" w:rsidTr="00487914">
        <w:tc>
          <w:tcPr>
            <w:tcW w:w="1418" w:type="dxa"/>
          </w:tcPr>
          <w:p w14:paraId="4DA67CFA" w14:textId="60ED2E9B" w:rsidR="0048091D" w:rsidRPr="00D63087" w:rsidRDefault="00855931" w:rsidP="00487914">
            <w:pPr>
              <w:rPr>
                <w:rStyle w:val="Strong"/>
              </w:rPr>
            </w:pPr>
            <w:r w:rsidRPr="00D63087">
              <w:rPr>
                <w:rStyle w:val="Strong"/>
              </w:rPr>
              <w:t>Staff:</w:t>
            </w:r>
          </w:p>
        </w:tc>
        <w:tc>
          <w:tcPr>
            <w:tcW w:w="8220" w:type="dxa"/>
            <w:gridSpan w:val="3"/>
          </w:tcPr>
          <w:p w14:paraId="45A08181" w14:textId="77777777" w:rsidR="00855931" w:rsidRDefault="00855931" w:rsidP="00855931">
            <w:r>
              <w:t>5 Direct Reports</w:t>
            </w:r>
            <w:r>
              <w:br/>
              <w:t>Assistant Secretary, Financial Operations Branch</w:t>
            </w:r>
          </w:p>
          <w:p w14:paraId="399511FF" w14:textId="77777777" w:rsidR="00855931" w:rsidRDefault="00855931" w:rsidP="00855931">
            <w:r>
              <w:t>Assistant Secretary, External Budgets &amp; Revenue Branch</w:t>
            </w:r>
          </w:p>
          <w:p w14:paraId="26E03F33" w14:textId="77777777" w:rsidR="00855931" w:rsidRDefault="00855931" w:rsidP="00855931">
            <w:r>
              <w:t>Assistant Secretary, Management Accounting Branch</w:t>
            </w:r>
          </w:p>
          <w:p w14:paraId="03E56006" w14:textId="77777777" w:rsidR="00855931" w:rsidRDefault="00855931" w:rsidP="00855931">
            <w:r>
              <w:t>Executive Officer, EL1</w:t>
            </w:r>
          </w:p>
          <w:p w14:paraId="07155219" w14:textId="11A16727" w:rsidR="0048091D" w:rsidRPr="00D63087" w:rsidRDefault="00855931" w:rsidP="00855931">
            <w:r>
              <w:t>Executive Assistant, APS5</w:t>
            </w:r>
          </w:p>
        </w:tc>
      </w:tr>
    </w:tbl>
    <w:p w14:paraId="35FC8E11" w14:textId="77777777" w:rsidR="00855931" w:rsidRPr="00717202" w:rsidRDefault="00855931" w:rsidP="00717202">
      <w:pPr>
        <w:pStyle w:val="Heading1"/>
      </w:pPr>
      <w:r w:rsidRPr="00717202">
        <w:t>Department of Home Affairs overview</w:t>
      </w:r>
    </w:p>
    <w:p w14:paraId="794AF310" w14:textId="78E1B073" w:rsidR="00352A7A" w:rsidRDefault="00352A7A" w:rsidP="00352A7A">
      <w:pPr>
        <w:pStyle w:val="Heading2"/>
        <w:rPr>
          <w:rFonts w:eastAsiaTheme="minorHAnsi" w:cstheme="minorBidi"/>
          <w:b w:val="0"/>
          <w:color w:val="44434C" w:themeColor="text2"/>
          <w:sz w:val="18"/>
          <w:szCs w:val="18"/>
        </w:rPr>
      </w:pPr>
      <w:r w:rsidRPr="00352A7A">
        <w:rPr>
          <w:rFonts w:eastAsiaTheme="minorHAnsi" w:cstheme="minorBidi"/>
          <w:b w:val="0"/>
          <w:color w:val="44434C" w:themeColor="text2"/>
          <w:sz w:val="18"/>
          <w:szCs w:val="18"/>
        </w:rPr>
        <w:t>Be part of something bigger and make a difference to the nation – join a supportive and diverse environment that encourages innovation and c</w:t>
      </w:r>
      <w:r>
        <w:rPr>
          <w:rFonts w:eastAsiaTheme="minorHAnsi" w:cstheme="minorBidi"/>
          <w:b w:val="0"/>
          <w:color w:val="44434C" w:themeColor="text2"/>
          <w:sz w:val="18"/>
          <w:szCs w:val="18"/>
        </w:rPr>
        <w:t xml:space="preserve">reativity. </w:t>
      </w:r>
      <w:r w:rsidRPr="00352A7A">
        <w:rPr>
          <w:rFonts w:eastAsiaTheme="minorHAnsi" w:cstheme="minorBidi"/>
          <w:b w:val="0"/>
          <w:color w:val="44434C" w:themeColor="text2"/>
          <w:sz w:val="18"/>
          <w:szCs w:val="18"/>
        </w:rPr>
        <w:t xml:space="preserve">Contribute to building a prosperous, unified and safe Australia – work in a challenging but rewarding role that touches many parts of Australian life. The Department has a strong culture of performance and delivery across a wide range of functions and we want you to be a part of the team. Our people have a deep commitment to protecting and enhancing the lives of Australians and </w:t>
      </w:r>
      <w:r w:rsidR="00220E87">
        <w:rPr>
          <w:rFonts w:eastAsiaTheme="minorHAnsi" w:cstheme="minorBidi"/>
          <w:b w:val="0"/>
          <w:color w:val="44434C" w:themeColor="text2"/>
          <w:sz w:val="18"/>
          <w:szCs w:val="18"/>
        </w:rPr>
        <w:t>we want you to be part of the team</w:t>
      </w:r>
      <w:r w:rsidRPr="00352A7A">
        <w:rPr>
          <w:rFonts w:eastAsiaTheme="minorHAnsi" w:cstheme="minorBidi"/>
          <w:b w:val="0"/>
          <w:color w:val="44434C" w:themeColor="text2"/>
          <w:sz w:val="18"/>
          <w:szCs w:val="18"/>
        </w:rPr>
        <w:t xml:space="preserve">! </w:t>
      </w:r>
    </w:p>
    <w:p w14:paraId="0304D5F7" w14:textId="56362933" w:rsidR="00855931" w:rsidRDefault="00855931" w:rsidP="00352A7A">
      <w:pPr>
        <w:pStyle w:val="Heading2"/>
      </w:pPr>
      <w:r>
        <w:t>Position Summary</w:t>
      </w:r>
    </w:p>
    <w:p w14:paraId="6B911907" w14:textId="77777777" w:rsidR="00855931" w:rsidRDefault="00855931" w:rsidP="00855931">
      <w:pPr>
        <w:pStyle w:val="Heading3"/>
      </w:pPr>
      <w:r>
        <w:t>Our Senior Executive Service</w:t>
      </w:r>
    </w:p>
    <w:p w14:paraId="387A1982" w14:textId="11B2E588" w:rsidR="00855931" w:rsidRDefault="00855931" w:rsidP="00855931">
      <w:r>
        <w:t xml:space="preserve">SES within the Department of Home Affairs, including the </w:t>
      </w:r>
      <w:r w:rsidR="00220E87">
        <w:t>Australian Border Force</w:t>
      </w:r>
      <w:r>
        <w:t xml:space="preserve">, provide leadership at both the departmental and whole of APS level. </w:t>
      </w:r>
      <w:r w:rsidR="00220E87">
        <w:t xml:space="preserve">Our </w:t>
      </w:r>
      <w:r>
        <w:t xml:space="preserve">SES </w:t>
      </w:r>
      <w:r w:rsidR="00220E87">
        <w:t xml:space="preserve">must </w:t>
      </w:r>
      <w:r>
        <w:t>demonstrate behaviours and actions that model and promote the APS Values and Code of Conduct. All SES roles are characterised by a high level of accountability for outcomes.</w:t>
      </w:r>
    </w:p>
    <w:p w14:paraId="3F31534A" w14:textId="77777777" w:rsidR="00855931" w:rsidRDefault="00855931" w:rsidP="00855931">
      <w:r w:rsidRPr="00784700">
        <w:t xml:space="preserve">The </w:t>
      </w:r>
      <w:r w:rsidRPr="00784700">
        <w:rPr>
          <w:i/>
        </w:rPr>
        <w:t>Senior Executive Leadership Capability Framework</w:t>
      </w:r>
      <w:r w:rsidRPr="00784700">
        <w:t xml:space="preserve"> identifies the skills and behaviours required at the SES Band </w:t>
      </w:r>
      <w:r>
        <w:t>2</w:t>
      </w:r>
      <w:r w:rsidRPr="00E119E3">
        <w:rPr>
          <w:color w:val="FF0000"/>
        </w:rPr>
        <w:t xml:space="preserve"> </w:t>
      </w:r>
      <w:r w:rsidRPr="00784700">
        <w:t>level</w:t>
      </w:r>
      <w:r>
        <w:t>. SES Band 2</w:t>
      </w:r>
      <w:r w:rsidRPr="00E119E3">
        <w:rPr>
          <w:color w:val="FF0000"/>
        </w:rPr>
        <w:t xml:space="preserve"> </w:t>
      </w:r>
      <w:r>
        <w:t>employees have a strong focus on results and solving complex issues, and help build organisational capability by providing intellectual leadership in their work area.</w:t>
      </w:r>
    </w:p>
    <w:p w14:paraId="62550729" w14:textId="77777777" w:rsidR="00855931" w:rsidRDefault="00855931" w:rsidP="00855931">
      <w:r>
        <w:t>SES Band 2</w:t>
      </w:r>
      <w:r w:rsidRPr="00E119E3">
        <w:rPr>
          <w:color w:val="FF0000"/>
        </w:rPr>
        <w:t xml:space="preserve"> </w:t>
      </w:r>
      <w:r>
        <w:t>employees are forward thinking, self-motivated, resilient and adept at building relationships in a large, complex and fast paced environment. SES Band 2</w:t>
      </w:r>
      <w:r w:rsidRPr="00E119E3">
        <w:rPr>
          <w:color w:val="FF0000"/>
        </w:rPr>
        <w:t xml:space="preserve"> </w:t>
      </w:r>
      <w:r>
        <w:t>employees are able to contribute to and communicate the strategic direction of the Department, including through leading work that achieves strategic priorities and objectives.</w:t>
      </w:r>
    </w:p>
    <w:p w14:paraId="7300A275" w14:textId="77777777" w:rsidR="00855931" w:rsidRDefault="00855931" w:rsidP="00855931">
      <w:pPr>
        <w:pStyle w:val="Heading3"/>
      </w:pPr>
      <w:r>
        <w:t xml:space="preserve">About the Role </w:t>
      </w:r>
    </w:p>
    <w:p w14:paraId="1CF8FD68" w14:textId="35CDFCF3" w:rsidR="00855931" w:rsidRDefault="00855931" w:rsidP="00855931">
      <w:r>
        <w:t xml:space="preserve">The Chief Finance Officer (CFO) </w:t>
      </w:r>
      <w:r w:rsidR="00220E87">
        <w:t>leads the</w:t>
      </w:r>
      <w:r>
        <w:t xml:space="preserve"> Finance Division and is a key strategic and advisory leader</w:t>
      </w:r>
      <w:r w:rsidR="00220E87">
        <w:t xml:space="preserve"> on all financial matters</w:t>
      </w:r>
      <w:r>
        <w:t xml:space="preserve"> within the Department. The CFO is responsible for overall strategic financial advice to the Department and leadership of the division to ensure key deliverables are achieved, supporting the business objectives of the Department and the Government. The CFO is charged with enabling key outcomes, balanced against financial framework and compliance responsibilities.</w:t>
      </w:r>
    </w:p>
    <w:p w14:paraId="171E2F43" w14:textId="77777777" w:rsidR="00855931" w:rsidRDefault="00855931" w:rsidP="00855931">
      <w:r>
        <w:t>Finance Division is responsible for the strategic and day to day financial management of the Department. This includes enabling strategic decision making across the Department through:</w:t>
      </w:r>
    </w:p>
    <w:p w14:paraId="61813EDA" w14:textId="3E1D0451" w:rsidR="00855931" w:rsidRDefault="00855931" w:rsidP="00855931">
      <w:pPr>
        <w:pStyle w:val="Bullet1"/>
      </w:pPr>
      <w:r>
        <w:t>Co-ordination and management of the External budget process</w:t>
      </w:r>
      <w:r w:rsidR="00220E87">
        <w:t>;</w:t>
      </w:r>
    </w:p>
    <w:p w14:paraId="2A385892" w14:textId="77777777" w:rsidR="00220E87" w:rsidRDefault="00220E87" w:rsidP="00220E87">
      <w:pPr>
        <w:pStyle w:val="Bullet1"/>
      </w:pPr>
      <w:r w:rsidRPr="00D21EE4">
        <w:t xml:space="preserve">Internal budget allocations and strategy to achieve the </w:t>
      </w:r>
      <w:r>
        <w:t xml:space="preserve">Government’s and </w:t>
      </w:r>
      <w:r w:rsidRPr="00D21EE4">
        <w:t>Department</w:t>
      </w:r>
      <w:r>
        <w:t>al</w:t>
      </w:r>
      <w:r w:rsidRPr="00D21EE4">
        <w:t xml:space="preserve"> objectives</w:t>
      </w:r>
      <w:r>
        <w:t>; and</w:t>
      </w:r>
    </w:p>
    <w:p w14:paraId="43CA77B6" w14:textId="53C8C2A5" w:rsidR="00220E87" w:rsidRPr="00D21EE4" w:rsidRDefault="00220E87" w:rsidP="00220E87">
      <w:pPr>
        <w:pStyle w:val="Bullet1"/>
      </w:pPr>
      <w:r>
        <w:lastRenderedPageBreak/>
        <w:t>P</w:t>
      </w:r>
      <w:r w:rsidRPr="00D21EE4">
        <w:t>rovision of advice and day to day management of financial reporting, governance and underpinning operations supporting financial management</w:t>
      </w:r>
      <w:r>
        <w:t>.</w:t>
      </w:r>
    </w:p>
    <w:p w14:paraId="36551DB1" w14:textId="77777777" w:rsidR="00855931" w:rsidRDefault="00855931" w:rsidP="00855931">
      <w:pPr>
        <w:pStyle w:val="Heading2"/>
      </w:pPr>
      <w:r>
        <w:t>Specific Duties</w:t>
      </w:r>
    </w:p>
    <w:p w14:paraId="11C02DEE" w14:textId="77777777" w:rsidR="00855931" w:rsidRPr="00AF6418" w:rsidRDefault="00855931" w:rsidP="00855931">
      <w:r w:rsidRPr="00AF6418">
        <w:t xml:space="preserve">Support the delivery of Government and Departmental objectives through the effective management and coordination of the external budget process and management of revenue receipts for the Department, including: </w:t>
      </w:r>
    </w:p>
    <w:p w14:paraId="14AEB5AA" w14:textId="77777777" w:rsidR="00855931" w:rsidRPr="00AF6418" w:rsidRDefault="00855931" w:rsidP="00855931">
      <w:pPr>
        <w:pStyle w:val="Bullet1"/>
      </w:pPr>
      <w:r w:rsidRPr="00AF6418">
        <w:t>Effectively manage the Department and Portfolio’s input to the Commonwealth budget process, inclusive of monitoring comebacks, negotiating costings, and developing NPPs and Cabinet submissions; and</w:t>
      </w:r>
    </w:p>
    <w:p w14:paraId="0D7C0910" w14:textId="4DB313E8" w:rsidR="00855931" w:rsidRDefault="00855931" w:rsidP="00855931">
      <w:pPr>
        <w:pStyle w:val="Bullet1"/>
      </w:pPr>
      <w:r w:rsidRPr="00AF6418">
        <w:t>Reporting of administered revenue collected on behalf of Government, including forecasting and monitoring of performance against budgets set with the Treasury.</w:t>
      </w:r>
    </w:p>
    <w:p w14:paraId="104C6598" w14:textId="77777777" w:rsidR="00220E87" w:rsidRPr="0007383D" w:rsidRDefault="00220E87" w:rsidP="00220E87">
      <w:r w:rsidRPr="0007383D">
        <w:t>Manage the internal budget allocations of the Department to achieve Government and Departmental objectives, including:</w:t>
      </w:r>
    </w:p>
    <w:p w14:paraId="5DE230CA" w14:textId="77777777" w:rsidR="00220E87" w:rsidRPr="0007383D" w:rsidRDefault="00220E87" w:rsidP="00220E87">
      <w:pPr>
        <w:pStyle w:val="Bullet1"/>
      </w:pPr>
      <w:r w:rsidRPr="0007383D">
        <w:t>Provision of ongoing strategic internal budget support to all areas of the Department through</w:t>
      </w:r>
      <w:r>
        <w:t xml:space="preserve"> the group</w:t>
      </w:r>
      <w:r w:rsidRPr="0007383D">
        <w:t xml:space="preserve"> finance </w:t>
      </w:r>
      <w:r>
        <w:t>partners; and</w:t>
      </w:r>
    </w:p>
    <w:p w14:paraId="4976948B" w14:textId="0972ACF8" w:rsidR="00220E87" w:rsidRPr="0007383D" w:rsidRDefault="00220E87" w:rsidP="00220E87">
      <w:pPr>
        <w:pStyle w:val="Bullet1"/>
      </w:pPr>
      <w:r w:rsidRPr="0007383D">
        <w:t xml:space="preserve">Ongoing review and reporting of the internal budget to </w:t>
      </w:r>
      <w:r>
        <w:t xml:space="preserve">the Senior Leadership Committee and </w:t>
      </w:r>
      <w:r w:rsidRPr="0007383D">
        <w:t>Departmental business areas</w:t>
      </w:r>
      <w:r>
        <w:t>.</w:t>
      </w:r>
    </w:p>
    <w:p w14:paraId="6A72ECAC" w14:textId="77777777" w:rsidR="00220E87" w:rsidRPr="002F6305" w:rsidRDefault="00220E87" w:rsidP="00220E87">
      <w:r w:rsidRPr="002F6305">
        <w:t>Manage the day to day financial functions underpinning the operations of the Department, including:</w:t>
      </w:r>
    </w:p>
    <w:p w14:paraId="55EE774C" w14:textId="77777777" w:rsidR="00220E87" w:rsidRPr="002F6305" w:rsidRDefault="00220E87" w:rsidP="00220E87">
      <w:pPr>
        <w:pStyle w:val="Bullet1"/>
      </w:pPr>
      <w:r w:rsidRPr="002F6305">
        <w:t xml:space="preserve">Accounts receivable, accounts payable, corporate treasury &amp; banking, </w:t>
      </w:r>
      <w:r>
        <w:t xml:space="preserve">assets, </w:t>
      </w:r>
      <w:r w:rsidRPr="002F6305">
        <w:t>credit card management and travel functions</w:t>
      </w:r>
      <w:r>
        <w:t>;</w:t>
      </w:r>
    </w:p>
    <w:p w14:paraId="38637F45" w14:textId="77777777" w:rsidR="00220E87" w:rsidRPr="002F6305" w:rsidRDefault="00220E87" w:rsidP="00220E87">
      <w:pPr>
        <w:pStyle w:val="Bullet1"/>
      </w:pPr>
      <w:r w:rsidRPr="002F6305">
        <w:t>External financial reporting obligations</w:t>
      </w:r>
      <w:r>
        <w:t>; and</w:t>
      </w:r>
    </w:p>
    <w:p w14:paraId="6A0F88DD" w14:textId="0F62639D" w:rsidR="00220E87" w:rsidRDefault="00220E87" w:rsidP="00DA02F0">
      <w:pPr>
        <w:pStyle w:val="Bullet1"/>
      </w:pPr>
      <w:r w:rsidRPr="002F6305">
        <w:t>Maintenance of the underpinning financial framework, including policies, procedures, delegations, compliance activities and training.</w:t>
      </w:r>
    </w:p>
    <w:p w14:paraId="33E3EB5D" w14:textId="77777777" w:rsidR="00855931" w:rsidRDefault="00855931" w:rsidP="00855931">
      <w:pPr>
        <w:pStyle w:val="Heading2"/>
      </w:pPr>
      <w:r>
        <w:t>General Responsibilities</w:t>
      </w:r>
    </w:p>
    <w:p w14:paraId="49C91FC8" w14:textId="77777777" w:rsidR="00855931" w:rsidRDefault="00855931" w:rsidP="00855931">
      <w:pPr>
        <w:pStyle w:val="Bullet1"/>
      </w:pPr>
      <w:r>
        <w:t>Promote APS and departmental values and behaviours.</w:t>
      </w:r>
    </w:p>
    <w:p w14:paraId="43D5230F" w14:textId="77777777" w:rsidR="00855931" w:rsidRPr="006F3CB8" w:rsidRDefault="00855931" w:rsidP="00855931">
      <w:pPr>
        <w:pStyle w:val="Bullet1"/>
      </w:pPr>
      <w:r w:rsidRPr="006F3CB8">
        <w:t>Support continuous improvement in financial management across the Department.</w:t>
      </w:r>
    </w:p>
    <w:p w14:paraId="62AEC366" w14:textId="77777777" w:rsidR="00855931" w:rsidRPr="006F3CB8" w:rsidRDefault="00855931" w:rsidP="00855931">
      <w:pPr>
        <w:pStyle w:val="Bullet1"/>
      </w:pPr>
      <w:r w:rsidRPr="006F3CB8">
        <w:t>Provide effective senior leadership to Finance division and more broadly on financial matters.</w:t>
      </w:r>
    </w:p>
    <w:p w14:paraId="658B0ECC" w14:textId="77777777" w:rsidR="00855931" w:rsidRDefault="00855931" w:rsidP="00855931">
      <w:pPr>
        <w:pStyle w:val="Bullet1"/>
      </w:pPr>
      <w:r>
        <w:t xml:space="preserve">Translate organisational vision and strategy into operational reality </w:t>
      </w:r>
    </w:p>
    <w:p w14:paraId="22C393C9" w14:textId="77777777" w:rsidR="00855931" w:rsidRDefault="00855931" w:rsidP="00855931">
      <w:pPr>
        <w:pStyle w:val="Bullet1"/>
      </w:pPr>
      <w:r>
        <w:t xml:space="preserve">Demonstrate responsible stewardship through effective governance, reporting and resource management and champion this across the organisation. </w:t>
      </w:r>
    </w:p>
    <w:p w14:paraId="44093A2B" w14:textId="77777777" w:rsidR="00855931" w:rsidRDefault="00855931" w:rsidP="00855931">
      <w:pPr>
        <w:pStyle w:val="Bullet1"/>
      </w:pPr>
      <w:r>
        <w:t xml:space="preserve">Lead change and engage staff through clear communications and proactive stakeholder engagement </w:t>
      </w:r>
    </w:p>
    <w:p w14:paraId="31096DA5" w14:textId="77777777" w:rsidR="00855931" w:rsidRDefault="00855931" w:rsidP="00855931">
      <w:pPr>
        <w:pStyle w:val="Bullet1"/>
      </w:pPr>
      <w:r>
        <w:t xml:space="preserve">Motivate and manage team performance, including monitoring divisional performance and addressing potential barriers to success </w:t>
      </w:r>
    </w:p>
    <w:p w14:paraId="51C02D9B" w14:textId="77777777" w:rsidR="00855931" w:rsidRDefault="00855931" w:rsidP="00855931">
      <w:pPr>
        <w:pStyle w:val="Bullet1"/>
      </w:pPr>
      <w:r>
        <w:t xml:space="preserve">Build and sustain a high performance culture </w:t>
      </w:r>
    </w:p>
    <w:p w14:paraId="7505EAB3" w14:textId="77777777" w:rsidR="00855931" w:rsidRDefault="00855931" w:rsidP="00855931">
      <w:pPr>
        <w:pStyle w:val="Heading2"/>
      </w:pPr>
      <w:r>
        <w:t xml:space="preserve">Core Capabilities </w:t>
      </w:r>
    </w:p>
    <w:p w14:paraId="7F09CDBC" w14:textId="77777777" w:rsidR="00855931" w:rsidRPr="006A5D2F" w:rsidRDefault="00855931" w:rsidP="00855931">
      <w:pPr>
        <w:pStyle w:val="Bullet1"/>
        <w:rPr>
          <w:i/>
        </w:rPr>
      </w:pPr>
      <w:r>
        <w:t>Accounting qualifications with membership of CPA Australia or CA ANZ preferred.</w:t>
      </w:r>
    </w:p>
    <w:p w14:paraId="3626971D" w14:textId="77777777" w:rsidR="00855931" w:rsidRPr="000F490F" w:rsidRDefault="00855931" w:rsidP="00855931">
      <w:pPr>
        <w:pStyle w:val="Bullet1"/>
        <w:rPr>
          <w:i/>
        </w:rPr>
      </w:pPr>
      <w:r w:rsidRPr="000F490F">
        <w:t>Experienced leader with a solid record of achievements as a senior financial and budget manager.</w:t>
      </w:r>
      <w:r w:rsidRPr="000F490F">
        <w:rPr>
          <w:i/>
        </w:rPr>
        <w:t xml:space="preserve"> </w:t>
      </w:r>
    </w:p>
    <w:p w14:paraId="280F733D" w14:textId="77777777" w:rsidR="00855931" w:rsidRDefault="00855931" w:rsidP="00855931">
      <w:pPr>
        <w:pStyle w:val="Bullet1"/>
        <w:rPr>
          <w:rFonts w:cstheme="minorHAnsi"/>
        </w:rPr>
      </w:pPr>
      <w:r>
        <w:rPr>
          <w:rFonts w:cstheme="minorHAnsi"/>
        </w:rPr>
        <w:t>Proven leadership capability working with teams in a complex and fast paced environment.</w:t>
      </w:r>
    </w:p>
    <w:p w14:paraId="18E69BE6" w14:textId="77777777" w:rsidR="00855931" w:rsidRDefault="00855931" w:rsidP="00855931">
      <w:pPr>
        <w:pStyle w:val="Bullet1"/>
        <w:rPr>
          <w:rFonts w:cstheme="minorHAnsi"/>
        </w:rPr>
      </w:pPr>
      <w:r>
        <w:rPr>
          <w:rFonts w:cstheme="minorHAnsi"/>
        </w:rPr>
        <w:t>Display political acumen, strong communication and have demonstrated experience in managing and influencing diverse stakeholders.</w:t>
      </w:r>
    </w:p>
    <w:p w14:paraId="61F778FB" w14:textId="77777777" w:rsidR="00855931" w:rsidRDefault="00855931" w:rsidP="00855931">
      <w:pPr>
        <w:pStyle w:val="Heading2"/>
        <w:tabs>
          <w:tab w:val="left" w:pos="5274"/>
        </w:tabs>
      </w:pPr>
      <w:r>
        <w:t>Eligibility</w:t>
      </w:r>
      <w:r>
        <w:tab/>
      </w:r>
    </w:p>
    <w:p w14:paraId="6DE91863" w14:textId="77777777" w:rsidR="00855931" w:rsidRDefault="00855931" w:rsidP="00855931">
      <w:r>
        <w:t>The successful candidate must:</w:t>
      </w:r>
    </w:p>
    <w:p w14:paraId="22597AB0" w14:textId="77777777" w:rsidR="00855931" w:rsidRPr="006A5D2F" w:rsidRDefault="00855931" w:rsidP="00855931">
      <w:pPr>
        <w:pStyle w:val="Bullet1"/>
        <w:rPr>
          <w:i/>
        </w:rPr>
      </w:pPr>
      <w:r>
        <w:t>have a</w:t>
      </w:r>
      <w:r w:rsidRPr="006A5D2F">
        <w:t>t least five years’ experience in providing senior capability support and advice to Executive Management in relation to</w:t>
      </w:r>
      <w:r>
        <w:t xml:space="preserve"> financial reporting,</w:t>
      </w:r>
      <w:r w:rsidRPr="006A5D2F">
        <w:t xml:space="preserve"> the Commonwealth Budget and Financial Framework, revenue management, administered financial governance and fiscal strategies.</w:t>
      </w:r>
    </w:p>
    <w:p w14:paraId="5DC47AFE" w14:textId="77777777" w:rsidR="00855931" w:rsidRDefault="00855931" w:rsidP="00855931">
      <w:pPr>
        <w:pStyle w:val="Bullet1"/>
        <w:rPr>
          <w:rFonts w:cstheme="minorHAnsi"/>
        </w:rPr>
      </w:pPr>
      <w:r>
        <w:rPr>
          <w:rFonts w:cstheme="minorHAnsi"/>
        </w:rPr>
        <w:t>be an Australian Citizen</w:t>
      </w:r>
    </w:p>
    <w:p w14:paraId="55AF3FEF" w14:textId="77777777" w:rsidR="00855931" w:rsidRDefault="00855931" w:rsidP="00855931">
      <w:pPr>
        <w:pStyle w:val="Bullet1"/>
        <w:rPr>
          <w:rFonts w:cstheme="minorHAnsi"/>
        </w:rPr>
      </w:pPr>
      <w:r>
        <w:rPr>
          <w:rFonts w:cstheme="minorHAnsi"/>
        </w:rPr>
        <w:t>obtain and maintain a security clearance at a minimum of Negative Vetting 2</w:t>
      </w:r>
    </w:p>
    <w:p w14:paraId="02601B52" w14:textId="77777777" w:rsidR="00D63087" w:rsidRPr="00D63087" w:rsidRDefault="00D63087" w:rsidP="00D63087">
      <w:pPr>
        <w:pStyle w:val="Heading2"/>
      </w:pPr>
      <w:r w:rsidRPr="004410E9">
        <w:rPr>
          <w:lang w:val="en-GB"/>
        </w:rPr>
        <w:t>Tenure</w:t>
      </w:r>
    </w:p>
    <w:p w14:paraId="3C04C55F" w14:textId="77777777" w:rsidR="00D63087" w:rsidRPr="00D63087" w:rsidRDefault="00D63087" w:rsidP="0073448B">
      <w:pPr>
        <w:rPr>
          <w:lang w:val="en-GB"/>
        </w:rPr>
      </w:pPr>
      <w:r w:rsidRPr="00D63087">
        <w:rPr>
          <w:lang w:val="en-GB"/>
        </w:rPr>
        <w:t xml:space="preserve">The successful candidate will be offered ongoing employment under the </w:t>
      </w:r>
      <w:r w:rsidRPr="00D63087">
        <w:rPr>
          <w:i/>
          <w:lang w:val="en-GB"/>
        </w:rPr>
        <w:t>Public Service Act 1999</w:t>
      </w:r>
      <w:r w:rsidRPr="00D63087">
        <w:rPr>
          <w:lang w:val="en-GB"/>
        </w:rPr>
        <w:t>.</w:t>
      </w:r>
    </w:p>
    <w:p w14:paraId="1E14AA47" w14:textId="77777777" w:rsidR="00D63087" w:rsidRPr="00D63087" w:rsidRDefault="00D63087" w:rsidP="00D63087">
      <w:pPr>
        <w:pStyle w:val="Heading2"/>
      </w:pPr>
      <w:r w:rsidRPr="004410E9">
        <w:t>Remuneration</w:t>
      </w:r>
    </w:p>
    <w:p w14:paraId="19D52B54" w14:textId="77777777" w:rsidR="00D63087" w:rsidRPr="00D63087" w:rsidRDefault="00D63087" w:rsidP="0073448B">
      <w:pPr>
        <w:rPr>
          <w:lang w:val="en-GB"/>
        </w:rPr>
      </w:pPr>
      <w:r w:rsidRPr="00D63087">
        <w:rPr>
          <w:lang w:val="en-GB"/>
        </w:rPr>
        <w:t xml:space="preserve">A Total Remuneration Package (TRP) reflecting the importance of the position will be negotiated with the successful candidate. The TRP comprises of: </w:t>
      </w:r>
    </w:p>
    <w:p w14:paraId="21EBFE93" w14:textId="77777777" w:rsidR="00D63087" w:rsidRPr="00D63087" w:rsidRDefault="00D63087" w:rsidP="0073448B">
      <w:pPr>
        <w:pStyle w:val="Bullet1"/>
        <w:rPr>
          <w:lang w:val="en-GB"/>
        </w:rPr>
      </w:pPr>
      <w:r w:rsidRPr="00D63087">
        <w:rPr>
          <w:lang w:val="en-GB"/>
        </w:rPr>
        <w:t>Base salary</w:t>
      </w:r>
    </w:p>
    <w:p w14:paraId="759204B2" w14:textId="77777777" w:rsidR="00D63087" w:rsidRPr="00D63087" w:rsidRDefault="00D63087" w:rsidP="0073448B">
      <w:pPr>
        <w:pStyle w:val="Bullet1"/>
        <w:rPr>
          <w:lang w:val="en-GB"/>
        </w:rPr>
      </w:pPr>
      <w:r w:rsidRPr="00D63087">
        <w:rPr>
          <w:lang w:val="en-GB"/>
        </w:rPr>
        <w:t>Superannuation</w:t>
      </w:r>
    </w:p>
    <w:p w14:paraId="7DCB22D0" w14:textId="77777777" w:rsidR="00D63087" w:rsidRPr="00D63087" w:rsidRDefault="00D63087" w:rsidP="0073448B">
      <w:pPr>
        <w:pStyle w:val="Bullet1"/>
        <w:rPr>
          <w:lang w:val="en-GB"/>
        </w:rPr>
      </w:pPr>
      <w:r w:rsidRPr="00D63087">
        <w:rPr>
          <w:lang w:val="en-GB"/>
        </w:rPr>
        <w:t>Motor vehicle allowance</w:t>
      </w:r>
    </w:p>
    <w:p w14:paraId="75037308" w14:textId="77777777" w:rsidR="00D63087" w:rsidRPr="00D63087" w:rsidRDefault="00D63087" w:rsidP="0073448B">
      <w:pPr>
        <w:pStyle w:val="Bullet1"/>
        <w:rPr>
          <w:lang w:val="en-GB"/>
        </w:rPr>
      </w:pPr>
      <w:r w:rsidRPr="00D63087">
        <w:rPr>
          <w:lang w:val="en-GB"/>
        </w:rPr>
        <w:t>Official parking</w:t>
      </w:r>
    </w:p>
    <w:p w14:paraId="2060E249" w14:textId="77777777" w:rsidR="00D63087" w:rsidRPr="00D63087" w:rsidRDefault="00D63087" w:rsidP="0073448B">
      <w:pPr>
        <w:rPr>
          <w:lang w:val="en-GB"/>
        </w:rPr>
      </w:pPr>
      <w:r w:rsidRPr="00D63087">
        <w:rPr>
          <w:lang w:val="en-GB"/>
        </w:rPr>
        <w:t>Other entitlements (in addition to TRP) may include:</w:t>
      </w:r>
    </w:p>
    <w:p w14:paraId="3FD5BF0B" w14:textId="77777777" w:rsidR="00D63087" w:rsidRPr="00D63087" w:rsidRDefault="00D63087" w:rsidP="0073448B">
      <w:pPr>
        <w:pStyle w:val="Bullet1"/>
        <w:rPr>
          <w:lang w:val="en-GB"/>
        </w:rPr>
      </w:pPr>
      <w:r w:rsidRPr="00D63087">
        <w:rPr>
          <w:lang w:val="en-GB"/>
        </w:rPr>
        <w:t>Airline lounge membership</w:t>
      </w:r>
    </w:p>
    <w:p w14:paraId="060EEF80" w14:textId="77777777" w:rsidR="00D63087" w:rsidRPr="00D63087" w:rsidRDefault="00D63087" w:rsidP="0073448B">
      <w:pPr>
        <w:pStyle w:val="Bullet1"/>
        <w:rPr>
          <w:lang w:val="en-GB"/>
        </w:rPr>
      </w:pPr>
      <w:r w:rsidRPr="00D63087">
        <w:rPr>
          <w:lang w:val="en-GB"/>
        </w:rPr>
        <w:t>Home office support</w:t>
      </w:r>
    </w:p>
    <w:p w14:paraId="0606C790" w14:textId="77777777" w:rsidR="00D63087" w:rsidRPr="00D63087" w:rsidRDefault="00D63087" w:rsidP="0073448B">
      <w:pPr>
        <w:pStyle w:val="Bullet1"/>
        <w:rPr>
          <w:lang w:val="en-GB"/>
        </w:rPr>
      </w:pPr>
      <w:r w:rsidRPr="00D63087">
        <w:rPr>
          <w:lang w:val="en-GB"/>
        </w:rPr>
        <w:t>Provisions for leave and relevant allowances (e.g. travel) etc.</w:t>
      </w:r>
    </w:p>
    <w:p w14:paraId="4D228C6B" w14:textId="77777777" w:rsidR="00D63087" w:rsidRPr="00D63087" w:rsidRDefault="00D63087" w:rsidP="0073448B">
      <w:pPr>
        <w:pStyle w:val="Bullet1"/>
        <w:numPr>
          <w:ilvl w:val="0"/>
          <w:numId w:val="11"/>
        </w:numPr>
        <w:rPr>
          <w:rStyle w:val="Strong"/>
        </w:rPr>
      </w:pPr>
      <w:r w:rsidRPr="00D63087">
        <w:rPr>
          <w:lang w:val="en-GB"/>
        </w:rPr>
        <w:t>Relocation assistance (if relevant)</w:t>
      </w:r>
    </w:p>
    <w:p w14:paraId="4171CC0C" w14:textId="77777777" w:rsidR="00D63087" w:rsidRPr="00D63087" w:rsidRDefault="00D63087" w:rsidP="00D63087">
      <w:pPr>
        <w:pStyle w:val="Heading2"/>
      </w:pPr>
      <w:r w:rsidRPr="004410E9">
        <w:t>Eligibility</w:t>
      </w:r>
    </w:p>
    <w:p w14:paraId="45ADC6C5" w14:textId="055EAD73" w:rsidR="00D63087" w:rsidRPr="00D63087" w:rsidRDefault="00D63087" w:rsidP="0073448B">
      <w:r w:rsidRPr="00D63087">
        <w:t>To be eligible for engagement to the Australian Public Service (APS), applicants must be Australian citizens</w:t>
      </w:r>
      <w:r w:rsidR="00194B1A">
        <w:t xml:space="preserve">. </w:t>
      </w:r>
      <w:r w:rsidRPr="00D63087">
        <w:t xml:space="preserve">There are also restrictions on the employment of people who have received a redundancy benefit from an </w:t>
      </w:r>
      <w:r w:rsidRPr="00F214D6">
        <w:t>APS agency</w:t>
      </w:r>
      <w:r w:rsidRPr="00D63087">
        <w:t xml:space="preserve"> or the Australian Parliamentary Service and who is still within their 'redundancy benefit period' or restriction period. These arrangements do not apply to persons who have received a redundancy benefit from a non-APS Commonwealth employer, from a State/Territory Government employer, or from the private sector. There are no restrictions on such persons competing on merit for APS employment.</w:t>
      </w:r>
    </w:p>
    <w:p w14:paraId="36AF4850" w14:textId="77777777" w:rsidR="00D63087" w:rsidRPr="00D63087" w:rsidRDefault="00D63087" w:rsidP="0073448B">
      <w:r w:rsidRPr="00D63087">
        <w:t>Prospective appointees will be required to satisfy health, character and security checks.</w:t>
      </w:r>
    </w:p>
    <w:p w14:paraId="7D75E93E" w14:textId="77777777" w:rsidR="00D63087" w:rsidRPr="00D63087" w:rsidRDefault="00D63087" w:rsidP="0073448B">
      <w:r w:rsidRPr="00D63087">
        <w:t xml:space="preserve">Please note that, with any vacancy, it is important that you check your own circumstances and ability to meet the eligibility requirements. </w:t>
      </w:r>
    </w:p>
    <w:p w14:paraId="2F81FAF7" w14:textId="77777777" w:rsidR="00D63087" w:rsidRDefault="005A0CFE" w:rsidP="008B17B4">
      <w:pPr>
        <w:pStyle w:val="Heading2"/>
      </w:pPr>
      <w:r w:rsidRPr="004410E9">
        <w:t xml:space="preserve">RecruitAbility </w:t>
      </w:r>
    </w:p>
    <w:p w14:paraId="2885B0EC" w14:textId="77777777" w:rsidR="005A0CFE" w:rsidRPr="005A0CFE" w:rsidRDefault="005A0CFE" w:rsidP="005A0CFE">
      <w:bookmarkStart w:id="0" w:name="_Hlk25844339"/>
      <w:r w:rsidRPr="005A0CFE">
        <w:t xml:space="preserve">RecruitAbility applies to this vacancy. You will be invited to participate in further assessment activity for the vacancy if you choose to apply under the RecruitAbility scheme; declare you have a disability; and meet the minimum requirements for the job. </w:t>
      </w:r>
    </w:p>
    <w:p w14:paraId="2BE10362" w14:textId="77777777" w:rsidR="005A0CFE" w:rsidRDefault="005A0CFE" w:rsidP="005A0CFE">
      <w:r w:rsidRPr="005A0CFE">
        <w:t xml:space="preserve">For more information see: </w:t>
      </w:r>
      <w:hyperlink r:id="rId8" w:history="1">
        <w:r w:rsidRPr="005A0CFE">
          <w:rPr>
            <w:rStyle w:val="Hyperlink"/>
          </w:rPr>
          <w:t>www.apsc.gov.au/priorities/disability/recruitability</w:t>
        </w:r>
      </w:hyperlink>
      <w:r w:rsidRPr="005A0CFE">
        <w:t>.</w:t>
      </w:r>
    </w:p>
    <w:p w14:paraId="445C9423" w14:textId="7C53E169" w:rsidR="00107241" w:rsidRDefault="00107241" w:rsidP="00107241">
      <w:pPr>
        <w:pStyle w:val="Heading2"/>
      </w:pPr>
      <w:bookmarkStart w:id="1" w:name="_Hlk165552219"/>
      <w:r>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0"/>
    <w:bookmarkEnd w:id="1"/>
    <w:p w14:paraId="0C812B3B" w14:textId="77777777" w:rsidR="005A0CFE" w:rsidRPr="005A0CFE" w:rsidRDefault="005A0CFE" w:rsidP="00D63087">
      <w:pPr>
        <w:pStyle w:val="Heading1"/>
      </w:pPr>
      <w:r w:rsidRPr="005A0CFE">
        <w:t>Preparing your application</w:t>
      </w:r>
    </w:p>
    <w:p w14:paraId="6CEF4034" w14:textId="734D945B" w:rsidR="006C740E" w:rsidRDefault="005A0CFE" w:rsidP="00D63087">
      <w:r w:rsidRPr="00855931">
        <w:t xml:space="preserve">Your application should include a </w:t>
      </w:r>
      <w:r w:rsidR="007663CC" w:rsidRPr="00855931">
        <w:t xml:space="preserve">CV and a </w:t>
      </w:r>
      <w:r w:rsidRPr="00855931">
        <w:t>statement of claims (a short ‘pitch’ of approximately 1000 words or 2 pages) drawing out why you are interested in the role, what you offer the agency, your skill set, relevant career history and achievements, and your leadership attributes. In preparing your application</w:t>
      </w:r>
      <w:r w:rsidR="006C740E" w:rsidRPr="00855931">
        <w:t>,</w:t>
      </w:r>
      <w:r w:rsidRPr="00855931">
        <w:t xml:space="preserve"> </w:t>
      </w:r>
      <w:r w:rsidR="00D65791" w:rsidRPr="00855931">
        <w:t>we suggest you take account of the</w:t>
      </w:r>
      <w:r w:rsidR="00D65791" w:rsidRPr="00D65791">
        <w:t xml:space="preserve"> following’</w:t>
      </w:r>
      <w:r w:rsidR="006C740E">
        <w:t>:</w:t>
      </w:r>
    </w:p>
    <w:p w14:paraId="45583679" w14:textId="44853E15" w:rsidR="006C740E" w:rsidRDefault="00CB1E2C" w:rsidP="006C740E">
      <w:pPr>
        <w:pStyle w:val="Bullet1"/>
      </w:pPr>
      <w:hyperlink r:id="rId9" w:history="1">
        <w:r w:rsidR="006C740E" w:rsidRPr="006C740E">
          <w:rPr>
            <w:rStyle w:val="Hyperlink"/>
          </w:rPr>
          <w:t>SES Performance Leadership Framework</w:t>
        </w:r>
      </w:hyperlink>
      <w:r w:rsidR="006C740E">
        <w:t>. This sets the expectations for all SES employees.</w:t>
      </w:r>
    </w:p>
    <w:p w14:paraId="3C9BF390" w14:textId="23EC944E" w:rsidR="006C740E" w:rsidRDefault="00CB1E2C" w:rsidP="006C740E">
      <w:pPr>
        <w:pStyle w:val="Bullet1"/>
      </w:pPr>
      <w:hyperlink r:id="rId10" w:history="1">
        <w:r w:rsidR="006C740E" w:rsidRPr="006C740E">
          <w:rPr>
            <w:rStyle w:val="Hyperlink"/>
          </w:rPr>
          <w:t>Secretaries Charter of Leadership Behaviours</w:t>
        </w:r>
      </w:hyperlink>
      <w:r w:rsidR="006C740E">
        <w:t>. This sets out the behaviours Secretaries expect of themselves, the SES and across all levels of the APS. The Charter focuses on behaviours that support modern systems of leadership within the construct of the APS Values and Code of Conduct.</w:t>
      </w:r>
    </w:p>
    <w:p w14:paraId="52642410" w14:textId="7E9FBE9E" w:rsidR="005A0CFE" w:rsidRDefault="00CB1E2C" w:rsidP="0072044E">
      <w:pPr>
        <w:pStyle w:val="Bullet1"/>
      </w:pPr>
      <w:hyperlink r:id="rId11" w:history="1">
        <w:r w:rsidR="006C740E" w:rsidRPr="006C740E">
          <w:rPr>
            <w:rStyle w:val="Hyperlink"/>
          </w:rPr>
          <w:t>Integrated Leadership System</w:t>
        </w:r>
        <w:r w:rsidR="006C740E">
          <w:rPr>
            <w:rStyle w:val="Hyperlink"/>
          </w:rPr>
          <w:t xml:space="preserve"> upon which the above behaviours are built.</w:t>
        </w:r>
        <w:r w:rsidR="006C740E" w:rsidRPr="006C740E">
          <w:rPr>
            <w:rStyle w:val="Hyperlink"/>
          </w:rPr>
          <w:t xml:space="preserve"> </w:t>
        </w:r>
      </w:hyperlink>
    </w:p>
    <w:p w14:paraId="42552E2A" w14:textId="77777777" w:rsidR="006C740E" w:rsidRDefault="006C740E" w:rsidP="004D18BF">
      <w:r>
        <w:t xml:space="preserve">For more information, please </w:t>
      </w:r>
      <w:hyperlink r:id="rId12" w:history="1">
        <w:r w:rsidRPr="006C740E">
          <w:rPr>
            <w:rStyle w:val="Hyperlink"/>
          </w:rPr>
          <w:t>visit the Australian Public Service Commission’s page on Senior Executive Service (SES) recruitment</w:t>
        </w:r>
      </w:hyperlink>
      <w:r>
        <w:t xml:space="preserve">. </w:t>
      </w:r>
    </w:p>
    <w:p w14:paraId="240792FC" w14:textId="1246CE9B" w:rsidR="00CA4570" w:rsidRPr="000805FE" w:rsidRDefault="004D18BF" w:rsidP="00D63087">
      <w:r w:rsidRPr="00994323">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1AE17FD2" w14:textId="77777777" w:rsidR="006B509B" w:rsidRPr="00D63087" w:rsidRDefault="006B509B" w:rsidP="006B509B">
      <w:pPr>
        <w:pStyle w:val="Heading1"/>
      </w:pPr>
      <w:r w:rsidRPr="00D63087">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2"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13" w:history="1">
        <w:r w:rsidRPr="0020447B">
          <w:rPr>
            <w:rStyle w:val="Hyperlink"/>
          </w:rPr>
          <w:t>https://executiveintelligencegroup.com.au/privacy-policy/</w:t>
        </w:r>
      </w:hyperlink>
      <w:r>
        <w:t>.</w:t>
      </w:r>
    </w:p>
    <w:bookmarkEnd w:id="2"/>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submit an application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14"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15"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6"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This is where you will create your account if you are applying for the first time. If you have used our system previously you can log in with your user name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form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17"/>
      <w:footerReference w:type="default" r:id="rId18"/>
      <w:headerReference w:type="first" r:id="rId19"/>
      <w:footerReference w:type="first" r:id="rId20"/>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AAD24" w14:textId="77777777" w:rsidR="005C4117" w:rsidRDefault="005C4117" w:rsidP="00A517D7">
      <w:pPr>
        <w:spacing w:after="0" w:line="240" w:lineRule="auto"/>
      </w:pPr>
      <w:r>
        <w:separator/>
      </w:r>
    </w:p>
  </w:endnote>
  <w:endnote w:type="continuationSeparator" w:id="0">
    <w:p w14:paraId="3C8D6BCD" w14:textId="77777777" w:rsidR="005C4117" w:rsidRDefault="005C4117"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7567" w14:textId="3E4979B5" w:rsidR="00A517D7" w:rsidRDefault="00903AAA" w:rsidP="00A9799A">
    <w:pPr>
      <w:pStyle w:val="Footer"/>
      <w:jc w:val="right"/>
    </w:pPr>
    <w:r>
      <w:rPr>
        <w:noProof/>
        <w:lang w:eastAsia="en-AU"/>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396E5C">
      <w:rPr>
        <w:noProof/>
      </w:rPr>
      <w:t>6</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DCC5" w14:textId="77777777" w:rsidR="00A517D7" w:rsidRDefault="00903AAA">
    <w:pPr>
      <w:pStyle w:val="Footer"/>
    </w:pPr>
    <w:r>
      <w:rPr>
        <w:noProof/>
        <w:lang w:eastAsia="en-AU"/>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w:t>
                    </w:r>
                    <w:proofErr w:type="gramStart"/>
                    <w:r w:rsidRPr="00C3636A">
                      <w:rPr>
                        <w:b/>
                      </w:rPr>
                      <w:t xml:space="preserve">MANAGEMENT  </w:t>
                    </w:r>
                    <w:r w:rsidRPr="00C3636A">
                      <w:rPr>
                        <w:rFonts w:cstheme="minorHAnsi"/>
                        <w:b/>
                      </w:rPr>
                      <w:t>•</w:t>
                    </w:r>
                    <w:proofErr w:type="gramEnd"/>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lang w:eastAsia="en-AU"/>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F3EA6" w14:textId="77777777" w:rsidR="005C4117" w:rsidRDefault="005C4117" w:rsidP="00A517D7">
      <w:pPr>
        <w:spacing w:after="0" w:line="240" w:lineRule="auto"/>
      </w:pPr>
      <w:r>
        <w:separator/>
      </w:r>
    </w:p>
  </w:footnote>
  <w:footnote w:type="continuationSeparator" w:id="0">
    <w:p w14:paraId="022C94BA" w14:textId="77777777" w:rsidR="005C4117" w:rsidRDefault="005C4117"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3658" w14:textId="35E402CE" w:rsidR="00A517D7" w:rsidRDefault="00903AAA" w:rsidP="00903AAA">
    <w:pPr>
      <w:pStyle w:val="Header"/>
      <w:jc w:val="right"/>
    </w:pPr>
    <w:r>
      <w:rPr>
        <w:noProof/>
        <w:lang w:eastAsia="en-AU"/>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57E6344A" w:rsidR="009670B1" w:rsidRPr="009670B1" w:rsidRDefault="009670B1" w:rsidP="00903AAA">
    <w:pPr>
      <w:pStyle w:val="Header"/>
      <w:jc w:val="right"/>
      <w:rPr>
        <w:color w:val="44434C" w:themeColor="text2"/>
      </w:rPr>
    </w:pPr>
    <w:r w:rsidRPr="00855931">
      <w:rPr>
        <w:color w:val="44434C" w:themeColor="text2"/>
      </w:rPr>
      <w:t>#</w:t>
    </w:r>
    <w:r w:rsidR="00855931" w:rsidRPr="00855931">
      <w:rPr>
        <w:color w:val="44434C" w:themeColor="text2"/>
      </w:rPr>
      <w:t>949</w:t>
    </w:r>
    <w:r w:rsidR="00855931">
      <w:rPr>
        <w:color w:val="44434C" w:themeColor="text2"/>
      </w:rPr>
      <w:t xml:space="preserve"> Chief Finance Officer, SES Band 2, Department of Home Affairs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EC06" w14:textId="77777777" w:rsidR="00A517D7" w:rsidRDefault="00903AAA">
    <w:pPr>
      <w:pStyle w:val="Header"/>
    </w:pPr>
    <w:r>
      <w:rPr>
        <w:noProof/>
        <w:lang w:eastAsia="en-AU"/>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4A59"/>
    <w:multiLevelType w:val="hybridMultilevel"/>
    <w:tmpl w:val="52B66B7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9588C"/>
    <w:multiLevelType w:val="multilevel"/>
    <w:tmpl w:val="06B0D84A"/>
    <w:numStyleLink w:val="DefaultBullets"/>
  </w:abstractNum>
  <w:abstractNum w:abstractNumId="5" w15:restartNumberingAfterBreak="0">
    <w:nsid w:val="23CF67CE"/>
    <w:multiLevelType w:val="multilevel"/>
    <w:tmpl w:val="26223948"/>
    <w:numStyleLink w:val="List1Numbered"/>
  </w:abstractNum>
  <w:abstractNum w:abstractNumId="6"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5C4CFD"/>
    <w:multiLevelType w:val="hybridMultilevel"/>
    <w:tmpl w:val="73C84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AA5846"/>
    <w:multiLevelType w:val="hybridMultilevel"/>
    <w:tmpl w:val="7AE4E91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58615703"/>
    <w:multiLevelType w:val="multilevel"/>
    <w:tmpl w:val="26223948"/>
    <w:numStyleLink w:val="List1Numbered"/>
  </w:abstractNum>
  <w:abstractNum w:abstractNumId="17" w15:restartNumberingAfterBreak="0">
    <w:nsid w:val="5DC63DC5"/>
    <w:multiLevelType w:val="multilevel"/>
    <w:tmpl w:val="26223948"/>
    <w:numStyleLink w:val="List1Numbered"/>
  </w:abstractNum>
  <w:abstractNum w:abstractNumId="18"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D9536AF"/>
    <w:multiLevelType w:val="multilevel"/>
    <w:tmpl w:val="26223948"/>
    <w:numStyleLink w:val="List1Numbered"/>
  </w:abstractNum>
  <w:abstractNum w:abstractNumId="22"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E8C094A"/>
    <w:multiLevelType w:val="multilevel"/>
    <w:tmpl w:val="06B0D84A"/>
    <w:numStyleLink w:val="DefaultBullets"/>
  </w:abstractNum>
  <w:num w:numId="1" w16cid:durableId="612055383">
    <w:abstractNumId w:val="20"/>
  </w:num>
  <w:num w:numId="2" w16cid:durableId="891693189">
    <w:abstractNumId w:val="20"/>
  </w:num>
  <w:num w:numId="3" w16cid:durableId="114299562">
    <w:abstractNumId w:val="20"/>
  </w:num>
  <w:num w:numId="4" w16cid:durableId="2000302501">
    <w:abstractNumId w:val="2"/>
  </w:num>
  <w:num w:numId="5" w16cid:durableId="1699043302">
    <w:abstractNumId w:val="16"/>
  </w:num>
  <w:num w:numId="6" w16cid:durableId="1651985222">
    <w:abstractNumId w:val="16"/>
  </w:num>
  <w:num w:numId="7" w16cid:durableId="2027293903">
    <w:abstractNumId w:val="16"/>
  </w:num>
  <w:num w:numId="8" w16cid:durableId="1458065609">
    <w:abstractNumId w:val="20"/>
  </w:num>
  <w:num w:numId="9" w16cid:durableId="1103960670">
    <w:abstractNumId w:val="20"/>
  </w:num>
  <w:num w:numId="10" w16cid:durableId="2054883845">
    <w:abstractNumId w:val="20"/>
  </w:num>
  <w:num w:numId="11" w16cid:durableId="591626118">
    <w:abstractNumId w:val="23"/>
  </w:num>
  <w:num w:numId="12" w16cid:durableId="1554849825">
    <w:abstractNumId w:val="5"/>
  </w:num>
  <w:num w:numId="13" w16cid:durableId="1438209626">
    <w:abstractNumId w:val="17"/>
  </w:num>
  <w:num w:numId="14" w16cid:durableId="1853494483">
    <w:abstractNumId w:val="22"/>
  </w:num>
  <w:num w:numId="15" w16cid:durableId="14749093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07290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0190141">
    <w:abstractNumId w:val="8"/>
  </w:num>
  <w:num w:numId="18" w16cid:durableId="1484809034">
    <w:abstractNumId w:val="1"/>
  </w:num>
  <w:num w:numId="19" w16cid:durableId="634454900">
    <w:abstractNumId w:val="14"/>
  </w:num>
  <w:num w:numId="20" w16cid:durableId="1331834601">
    <w:abstractNumId w:val="3"/>
  </w:num>
  <w:num w:numId="21" w16cid:durableId="100077180">
    <w:abstractNumId w:val="6"/>
  </w:num>
  <w:num w:numId="22" w16cid:durableId="1238828407">
    <w:abstractNumId w:val="11"/>
  </w:num>
  <w:num w:numId="23" w16cid:durableId="454326826">
    <w:abstractNumId w:val="24"/>
  </w:num>
  <w:num w:numId="24" w16cid:durableId="1163619463">
    <w:abstractNumId w:val="19"/>
  </w:num>
  <w:num w:numId="25" w16cid:durableId="1733238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2862">
    <w:abstractNumId w:val="18"/>
  </w:num>
  <w:num w:numId="27" w16cid:durableId="78916388">
    <w:abstractNumId w:val="4"/>
  </w:num>
  <w:num w:numId="28" w16cid:durableId="1724523715">
    <w:abstractNumId w:val="21"/>
  </w:num>
  <w:num w:numId="29" w16cid:durableId="1230308261">
    <w:abstractNumId w:val="23"/>
  </w:num>
  <w:num w:numId="30" w16cid:durableId="1658267524">
    <w:abstractNumId w:val="23"/>
  </w:num>
  <w:num w:numId="31" w16cid:durableId="956333152">
    <w:abstractNumId w:val="23"/>
  </w:num>
  <w:num w:numId="32" w16cid:durableId="117727657">
    <w:abstractNumId w:val="23"/>
  </w:num>
  <w:num w:numId="33" w16cid:durableId="1823694868">
    <w:abstractNumId w:val="2"/>
  </w:num>
  <w:num w:numId="34" w16cid:durableId="148787556">
    <w:abstractNumId w:val="21"/>
  </w:num>
  <w:num w:numId="35" w16cid:durableId="1775326348">
    <w:abstractNumId w:val="21"/>
  </w:num>
  <w:num w:numId="36" w16cid:durableId="461926539">
    <w:abstractNumId w:val="21"/>
  </w:num>
  <w:num w:numId="37" w16cid:durableId="1311792825">
    <w:abstractNumId w:val="12"/>
  </w:num>
  <w:num w:numId="38" w16cid:durableId="1256938904">
    <w:abstractNumId w:val="13"/>
  </w:num>
  <w:num w:numId="39" w16cid:durableId="420757938">
    <w:abstractNumId w:val="9"/>
  </w:num>
  <w:num w:numId="40" w16cid:durableId="1750348189">
    <w:abstractNumId w:val="0"/>
  </w:num>
  <w:num w:numId="41" w16cid:durableId="1111047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efaultTableStyle w:val="EIGTable1"/>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15FCE"/>
    <w:rsid w:val="000241A2"/>
    <w:rsid w:val="00055289"/>
    <w:rsid w:val="00076375"/>
    <w:rsid w:val="000805FE"/>
    <w:rsid w:val="00107241"/>
    <w:rsid w:val="00172609"/>
    <w:rsid w:val="00194B1A"/>
    <w:rsid w:val="001E1CB7"/>
    <w:rsid w:val="00220E87"/>
    <w:rsid w:val="00272D1C"/>
    <w:rsid w:val="002804D3"/>
    <w:rsid w:val="002A0FA1"/>
    <w:rsid w:val="002E6862"/>
    <w:rsid w:val="00326DAC"/>
    <w:rsid w:val="00330277"/>
    <w:rsid w:val="003373B2"/>
    <w:rsid w:val="00352A7A"/>
    <w:rsid w:val="0037313A"/>
    <w:rsid w:val="00396E5C"/>
    <w:rsid w:val="004154E2"/>
    <w:rsid w:val="004410E9"/>
    <w:rsid w:val="00442F92"/>
    <w:rsid w:val="0048091D"/>
    <w:rsid w:val="00497F76"/>
    <w:rsid w:val="004C41D9"/>
    <w:rsid w:val="004D18BF"/>
    <w:rsid w:val="00560670"/>
    <w:rsid w:val="00564324"/>
    <w:rsid w:val="00591E00"/>
    <w:rsid w:val="0059328E"/>
    <w:rsid w:val="005A0CFE"/>
    <w:rsid w:val="005A1EE3"/>
    <w:rsid w:val="005B7B0A"/>
    <w:rsid w:val="005C4117"/>
    <w:rsid w:val="006B509B"/>
    <w:rsid w:val="006C740E"/>
    <w:rsid w:val="00717202"/>
    <w:rsid w:val="0072044E"/>
    <w:rsid w:val="007663CC"/>
    <w:rsid w:val="007956C0"/>
    <w:rsid w:val="007D7D2D"/>
    <w:rsid w:val="00853565"/>
    <w:rsid w:val="00855931"/>
    <w:rsid w:val="008626B7"/>
    <w:rsid w:val="008B17B4"/>
    <w:rsid w:val="00903AAA"/>
    <w:rsid w:val="00923BB7"/>
    <w:rsid w:val="00934509"/>
    <w:rsid w:val="00951BC4"/>
    <w:rsid w:val="009670B1"/>
    <w:rsid w:val="00994B55"/>
    <w:rsid w:val="009D2324"/>
    <w:rsid w:val="009D6F4F"/>
    <w:rsid w:val="00A07E4A"/>
    <w:rsid w:val="00A517D7"/>
    <w:rsid w:val="00A63865"/>
    <w:rsid w:val="00A9799A"/>
    <w:rsid w:val="00B07938"/>
    <w:rsid w:val="00B364CD"/>
    <w:rsid w:val="00B36B9A"/>
    <w:rsid w:val="00B4123B"/>
    <w:rsid w:val="00B517E4"/>
    <w:rsid w:val="00B603C0"/>
    <w:rsid w:val="00C0421C"/>
    <w:rsid w:val="00C1747D"/>
    <w:rsid w:val="00C3636A"/>
    <w:rsid w:val="00C40FEA"/>
    <w:rsid w:val="00C95ABE"/>
    <w:rsid w:val="00CA4570"/>
    <w:rsid w:val="00CA4E49"/>
    <w:rsid w:val="00CB1E2C"/>
    <w:rsid w:val="00CC3DC6"/>
    <w:rsid w:val="00D514E8"/>
    <w:rsid w:val="00D540DA"/>
    <w:rsid w:val="00D63087"/>
    <w:rsid w:val="00D65791"/>
    <w:rsid w:val="00D659C9"/>
    <w:rsid w:val="00D7484F"/>
    <w:rsid w:val="00D872CE"/>
    <w:rsid w:val="00DA02F0"/>
    <w:rsid w:val="00DB387B"/>
    <w:rsid w:val="00DB3F7F"/>
    <w:rsid w:val="00DF1D9C"/>
    <w:rsid w:val="00DF5988"/>
    <w:rsid w:val="00E63CB0"/>
    <w:rsid w:val="00E67C4A"/>
    <w:rsid w:val="00EF6375"/>
    <w:rsid w:val="00F20013"/>
    <w:rsid w:val="00F214D6"/>
    <w:rsid w:val="00F418E8"/>
    <w:rsid w:val="00F81391"/>
    <w:rsid w:val="00F83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customStyle="1" w:styleId="UnresolvedMention1">
    <w:name w:val="Unresolved Mention1"/>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semiHidden/>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semiHidden/>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aliases w:val="Bullets,Tick List Paragraph,TOC style,lp1,Bullet OSM,Proposal Bullet List,List Paragraph1,Recommendation,List Paragraph11,List Paragraph111,L,F5 List Paragraph,Dot pt,CV text,Table text,Medium Grid 1 - Accent 21,Numbered Paragraph"/>
    <w:basedOn w:val="Normal"/>
    <w:link w:val="ListParagraphChar"/>
    <w:uiPriority w:val="34"/>
    <w:qFormat/>
    <w:rsid w:val="006C740E"/>
    <w:pPr>
      <w:ind w:left="720"/>
      <w:contextualSpacing/>
    </w:pPr>
  </w:style>
  <w:style w:type="paragraph" w:styleId="BodyText">
    <w:name w:val="Body Text"/>
    <w:basedOn w:val="Normal"/>
    <w:link w:val="BodyTextChar"/>
    <w:uiPriority w:val="1"/>
    <w:qFormat/>
    <w:rsid w:val="00855931"/>
    <w:pPr>
      <w:spacing w:after="120" w:line="264" w:lineRule="auto"/>
    </w:pPr>
    <w:rPr>
      <w:rFonts w:eastAsia="Times New Roman" w:cs="Times New Roman"/>
      <w:color w:val="auto"/>
      <w:sz w:val="20"/>
      <w:szCs w:val="24"/>
      <w:lang w:eastAsia="en-AU"/>
    </w:rPr>
  </w:style>
  <w:style w:type="character" w:customStyle="1" w:styleId="BodyTextChar">
    <w:name w:val="Body Text Char"/>
    <w:basedOn w:val="DefaultParagraphFont"/>
    <w:link w:val="BodyText"/>
    <w:uiPriority w:val="1"/>
    <w:rsid w:val="00855931"/>
    <w:rPr>
      <w:rFonts w:eastAsia="Times New Roman" w:cs="Times New Roman"/>
      <w:color w:val="auto"/>
      <w:sz w:val="20"/>
      <w:szCs w:val="24"/>
      <w:lang w:eastAsia="en-AU"/>
    </w:rPr>
  </w:style>
  <w:style w:type="paragraph" w:customStyle="1" w:styleId="ListParagraph2">
    <w:name w:val="List Paragraph 2"/>
    <w:basedOn w:val="ListParagraph"/>
    <w:uiPriority w:val="19"/>
    <w:rsid w:val="00855931"/>
    <w:pPr>
      <w:tabs>
        <w:tab w:val="num" w:pos="360"/>
        <w:tab w:val="num" w:pos="1134"/>
      </w:tabs>
      <w:spacing w:after="120" w:line="264" w:lineRule="auto"/>
      <w:ind w:left="568"/>
      <w:contextualSpacing w:val="0"/>
    </w:pPr>
    <w:rPr>
      <w:rFonts w:eastAsia="Times New Roman" w:cs="Times New Roman"/>
      <w:color w:val="auto"/>
      <w:sz w:val="20"/>
      <w:szCs w:val="24"/>
      <w:lang w:eastAsia="en-AU"/>
    </w:rPr>
  </w:style>
  <w:style w:type="paragraph" w:customStyle="1" w:styleId="ListParagraph3">
    <w:name w:val="List Paragraph 3"/>
    <w:basedOn w:val="ListParagraph"/>
    <w:uiPriority w:val="19"/>
    <w:rsid w:val="00855931"/>
    <w:pPr>
      <w:tabs>
        <w:tab w:val="num" w:pos="360"/>
        <w:tab w:val="num" w:pos="1701"/>
      </w:tabs>
      <w:spacing w:after="120" w:line="264" w:lineRule="auto"/>
      <w:ind w:left="852"/>
      <w:contextualSpacing w:val="0"/>
    </w:pPr>
    <w:rPr>
      <w:rFonts w:eastAsia="Times New Roman" w:cs="Times New Roman"/>
      <w:color w:val="auto"/>
      <w:sz w:val="20"/>
      <w:szCs w:val="24"/>
      <w:lang w:eastAsia="en-AU"/>
    </w:rPr>
  </w:style>
  <w:style w:type="paragraph" w:customStyle="1" w:styleId="ListParagraph4">
    <w:name w:val="List Paragraph 4"/>
    <w:basedOn w:val="ListParagraph"/>
    <w:uiPriority w:val="19"/>
    <w:rsid w:val="00855931"/>
    <w:pPr>
      <w:tabs>
        <w:tab w:val="num" w:pos="360"/>
        <w:tab w:val="num" w:pos="2268"/>
      </w:tabs>
      <w:spacing w:after="120" w:line="264" w:lineRule="auto"/>
      <w:ind w:left="1136"/>
      <w:contextualSpacing w:val="0"/>
    </w:pPr>
    <w:rPr>
      <w:rFonts w:eastAsia="Times New Roman" w:cs="Times New Roman"/>
      <w:color w:val="auto"/>
      <w:sz w:val="20"/>
      <w:szCs w:val="24"/>
      <w:lang w:eastAsia="en-AU"/>
    </w:rPr>
  </w:style>
  <w:style w:type="paragraph" w:customStyle="1" w:styleId="ListParagraph5">
    <w:name w:val="List Paragraph 5"/>
    <w:basedOn w:val="ListParagraph"/>
    <w:uiPriority w:val="19"/>
    <w:rsid w:val="00855931"/>
    <w:pPr>
      <w:tabs>
        <w:tab w:val="num" w:pos="360"/>
        <w:tab w:val="num" w:pos="2835"/>
      </w:tabs>
      <w:spacing w:after="120" w:line="264" w:lineRule="auto"/>
      <w:ind w:left="1420"/>
      <w:contextualSpacing w:val="0"/>
    </w:pPr>
    <w:rPr>
      <w:rFonts w:eastAsia="Times New Roman" w:cs="Times New Roman"/>
      <w:color w:val="auto"/>
      <w:sz w:val="20"/>
      <w:szCs w:val="24"/>
      <w:lang w:eastAsia="en-AU"/>
    </w:rPr>
  </w:style>
  <w:style w:type="paragraph" w:customStyle="1" w:styleId="ListParagraph6">
    <w:name w:val="List Paragraph 6"/>
    <w:basedOn w:val="ListParagraph"/>
    <w:uiPriority w:val="19"/>
    <w:rsid w:val="00855931"/>
    <w:pPr>
      <w:tabs>
        <w:tab w:val="num" w:pos="360"/>
        <w:tab w:val="num" w:pos="3402"/>
      </w:tabs>
      <w:spacing w:after="120" w:line="264" w:lineRule="auto"/>
      <w:ind w:left="1704"/>
      <w:contextualSpacing w:val="0"/>
    </w:pPr>
    <w:rPr>
      <w:rFonts w:eastAsia="Times New Roman" w:cs="Times New Roman"/>
      <w:color w:val="auto"/>
      <w:sz w:val="20"/>
      <w:szCs w:val="24"/>
      <w:lang w:eastAsia="en-AU"/>
    </w:rPr>
  </w:style>
  <w:style w:type="character" w:customStyle="1" w:styleId="ListParagraphChar">
    <w:name w:val="List Paragraph Char"/>
    <w:aliases w:val="Bullets Char,Tick List Paragraph Char,TOC style Char,lp1 Char,Bullet OSM Char,Proposal Bullet List Char,List Paragraph1 Char,Recommendation Char,List Paragraph11 Char,List Paragraph111 Char,L Char,F5 List Paragraph Char,Dot pt Char"/>
    <w:basedOn w:val="DefaultParagraphFont"/>
    <w:link w:val="ListParagraph"/>
    <w:uiPriority w:val="34"/>
    <w:qFormat/>
    <w:locked/>
    <w:rsid w:val="0085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sc.gov.au/priorities/disability/recruitability" TargetMode="External"/><Relationship Id="rId13" Type="http://schemas.openxmlformats.org/officeDocument/2006/relationships/hyperlink" Target="https://executiveintelligencegroup.com.au/privacy-poli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psc.gov.au/working-aps/information-aps-employment/senior-executive-service-ses/senior-executive-service-ses-recruit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xecutiveintelligencegroup.com.au/vacan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sc.gov.au/working-aps/aps-employees-and-managers/classifications/integrated-leadership-system-ils/ils-guide-integrated-leadership-system" TargetMode="External"/><Relationship Id="rId5" Type="http://schemas.openxmlformats.org/officeDocument/2006/relationships/webSettings" Target="webSettings.xml"/><Relationship Id="rId15" Type="http://schemas.openxmlformats.org/officeDocument/2006/relationships/hyperlink" Target="mailto:admin@execintell.com.au" TargetMode="External"/><Relationship Id="rId10" Type="http://schemas.openxmlformats.org/officeDocument/2006/relationships/hyperlink" Target="https://www.apsc.gov.au/initiatives-and-programs/learning-and-development/secretaries-charter-leadership-behaviou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psc.gov.au/working-aps/aps-employees-and-managers/senior-executive-service-ses/ses-performance" TargetMode="External"/><Relationship Id="rId14" Type="http://schemas.openxmlformats.org/officeDocument/2006/relationships/hyperlink" Target="mailto:admin@execintell.com.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E5BD-EC01-448C-AB0C-C74FE990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Catherine Jennings</cp:lastModifiedBy>
  <cp:revision>5</cp:revision>
  <dcterms:created xsi:type="dcterms:W3CDTF">2024-08-20T06:19:00Z</dcterms:created>
  <dcterms:modified xsi:type="dcterms:W3CDTF">2024-08-22T06:07:00Z</dcterms:modified>
</cp:coreProperties>
</file>