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718" w:rsidRPr="00176718" w:rsidRDefault="00176718" w:rsidP="00176718">
      <w:pPr>
        <w:pStyle w:val="Heading1"/>
        <w:jc w:val="left"/>
        <w:rPr>
          <w:color w:val="4D738A"/>
        </w:rPr>
      </w:pPr>
      <w:r w:rsidRPr="00176718">
        <w:rPr>
          <w:color w:val="4D738A"/>
        </w:rPr>
        <w:t>Freedom of Information Commissioner</w:t>
      </w:r>
    </w:p>
    <w:p w:rsidR="00176718" w:rsidRPr="00B010EC" w:rsidRDefault="00176718" w:rsidP="00176718">
      <w:pPr>
        <w:pStyle w:val="ListParagraph"/>
        <w:widowControl/>
        <w:numPr>
          <w:ilvl w:val="0"/>
          <w:numId w:val="1"/>
        </w:numPr>
        <w:autoSpaceDE/>
        <w:autoSpaceDN/>
        <w:adjustRightInd/>
        <w:spacing w:before="120" w:after="120" w:line="276" w:lineRule="auto"/>
        <w:contextualSpacing/>
        <w:rPr>
          <w:rFonts w:asciiTheme="minorHAnsi" w:hAnsiTheme="minorHAnsi" w:cstheme="minorHAnsi"/>
        </w:rPr>
      </w:pPr>
      <w:r w:rsidRPr="00B010EC">
        <w:rPr>
          <w:rFonts w:asciiTheme="minorHAnsi" w:hAnsiTheme="minorHAnsi" w:cstheme="minorHAnsi"/>
        </w:rPr>
        <w:t xml:space="preserve">About the Office of the Australian Information Commissioner </w:t>
      </w:r>
    </w:p>
    <w:p w:rsidR="00176718" w:rsidRPr="00B010EC" w:rsidRDefault="00176718" w:rsidP="00176718">
      <w:pPr>
        <w:pStyle w:val="ListParagraph"/>
        <w:widowControl/>
        <w:numPr>
          <w:ilvl w:val="0"/>
          <w:numId w:val="1"/>
        </w:numPr>
        <w:autoSpaceDE/>
        <w:autoSpaceDN/>
        <w:adjustRightInd/>
        <w:spacing w:before="120" w:after="120" w:line="276" w:lineRule="auto"/>
        <w:contextualSpacing/>
        <w:rPr>
          <w:rFonts w:asciiTheme="minorHAnsi" w:hAnsiTheme="minorHAnsi" w:cstheme="minorHAnsi"/>
        </w:rPr>
      </w:pPr>
      <w:r w:rsidRPr="00B010EC">
        <w:rPr>
          <w:rFonts w:asciiTheme="minorHAnsi" w:hAnsiTheme="minorHAnsi" w:cstheme="minorHAnsi"/>
        </w:rPr>
        <w:t>Role of the Freedom of Information Commissioner</w:t>
      </w:r>
    </w:p>
    <w:p w:rsidR="00176718" w:rsidRPr="00B010EC" w:rsidRDefault="00176718" w:rsidP="00176718">
      <w:pPr>
        <w:pStyle w:val="ListParagraph"/>
        <w:widowControl/>
        <w:numPr>
          <w:ilvl w:val="0"/>
          <w:numId w:val="1"/>
        </w:numPr>
        <w:autoSpaceDE/>
        <w:autoSpaceDN/>
        <w:adjustRightInd/>
        <w:spacing w:before="120" w:after="120" w:line="276" w:lineRule="auto"/>
        <w:contextualSpacing/>
        <w:rPr>
          <w:rFonts w:asciiTheme="minorHAnsi" w:hAnsiTheme="minorHAnsi" w:cstheme="minorHAnsi"/>
        </w:rPr>
      </w:pPr>
      <w:r w:rsidRPr="00B010EC">
        <w:rPr>
          <w:rFonts w:asciiTheme="minorHAnsi" w:hAnsiTheme="minorHAnsi" w:cstheme="minorHAnsi"/>
        </w:rPr>
        <w:t>Eligibility</w:t>
      </w:r>
    </w:p>
    <w:p w:rsidR="00176718" w:rsidRPr="00B010EC" w:rsidRDefault="00176718" w:rsidP="00176718">
      <w:pPr>
        <w:pStyle w:val="ListParagraph"/>
        <w:widowControl/>
        <w:numPr>
          <w:ilvl w:val="0"/>
          <w:numId w:val="1"/>
        </w:numPr>
        <w:autoSpaceDE/>
        <w:autoSpaceDN/>
        <w:adjustRightInd/>
        <w:spacing w:before="120" w:after="120" w:line="276" w:lineRule="auto"/>
        <w:contextualSpacing/>
        <w:rPr>
          <w:rFonts w:asciiTheme="minorHAnsi" w:hAnsiTheme="minorHAnsi" w:cstheme="minorHAnsi"/>
        </w:rPr>
      </w:pPr>
      <w:r w:rsidRPr="00B010EC">
        <w:rPr>
          <w:rFonts w:asciiTheme="minorHAnsi" w:hAnsiTheme="minorHAnsi" w:cstheme="minorHAnsi"/>
        </w:rPr>
        <w:t>Selection criteria</w:t>
      </w:r>
    </w:p>
    <w:p w:rsidR="00176718" w:rsidRPr="00B010EC" w:rsidRDefault="00176718" w:rsidP="00176718">
      <w:pPr>
        <w:pStyle w:val="ListParagraph"/>
        <w:widowControl/>
        <w:numPr>
          <w:ilvl w:val="0"/>
          <w:numId w:val="1"/>
        </w:numPr>
        <w:autoSpaceDE/>
        <w:autoSpaceDN/>
        <w:adjustRightInd/>
        <w:spacing w:before="120" w:after="120" w:line="276" w:lineRule="auto"/>
        <w:contextualSpacing/>
        <w:rPr>
          <w:rFonts w:asciiTheme="minorHAnsi" w:hAnsiTheme="minorHAnsi" w:cstheme="minorHAnsi"/>
        </w:rPr>
      </w:pPr>
      <w:r w:rsidRPr="00B010EC">
        <w:rPr>
          <w:rFonts w:asciiTheme="minorHAnsi" w:hAnsiTheme="minorHAnsi" w:cstheme="minorHAnsi"/>
        </w:rPr>
        <w:t>Terms and conditions of employment</w:t>
      </w:r>
    </w:p>
    <w:p w:rsidR="00176718" w:rsidRPr="00B010EC" w:rsidRDefault="00176718" w:rsidP="00176718">
      <w:pPr>
        <w:pStyle w:val="ListParagraph"/>
        <w:widowControl/>
        <w:numPr>
          <w:ilvl w:val="0"/>
          <w:numId w:val="1"/>
        </w:numPr>
        <w:autoSpaceDE/>
        <w:autoSpaceDN/>
        <w:adjustRightInd/>
        <w:spacing w:before="120" w:line="276" w:lineRule="auto"/>
        <w:ind w:left="714" w:hanging="357"/>
        <w:contextualSpacing/>
        <w:rPr>
          <w:rFonts w:asciiTheme="minorHAnsi" w:hAnsiTheme="minorHAnsi" w:cstheme="minorHAnsi"/>
        </w:rPr>
      </w:pPr>
      <w:r w:rsidRPr="00B010EC">
        <w:rPr>
          <w:rFonts w:asciiTheme="minorHAnsi" w:hAnsiTheme="minorHAnsi" w:cstheme="minorHAnsi"/>
        </w:rPr>
        <w:t>How to apply</w:t>
      </w:r>
    </w:p>
    <w:p w:rsidR="00176718" w:rsidRPr="00B010EC" w:rsidRDefault="00176718" w:rsidP="00176718">
      <w:pPr>
        <w:pStyle w:val="ListParagraph"/>
        <w:widowControl/>
        <w:numPr>
          <w:ilvl w:val="0"/>
          <w:numId w:val="1"/>
        </w:numPr>
        <w:autoSpaceDE/>
        <w:autoSpaceDN/>
        <w:adjustRightInd/>
        <w:spacing w:before="120" w:line="276" w:lineRule="auto"/>
        <w:ind w:left="714" w:hanging="357"/>
        <w:contextualSpacing/>
        <w:rPr>
          <w:rFonts w:asciiTheme="minorHAnsi" w:hAnsiTheme="minorHAnsi" w:cstheme="minorHAnsi"/>
        </w:rPr>
      </w:pPr>
      <w:r w:rsidRPr="00B010EC">
        <w:rPr>
          <w:rFonts w:asciiTheme="minorHAnsi" w:hAnsiTheme="minorHAnsi" w:cstheme="minorHAnsi"/>
        </w:rPr>
        <w:t>Contact</w:t>
      </w:r>
    </w:p>
    <w:p w:rsidR="00176718" w:rsidRPr="00B010EC" w:rsidRDefault="00176718" w:rsidP="00176718">
      <w:pPr>
        <w:pStyle w:val="ListParagraph"/>
        <w:widowControl/>
        <w:numPr>
          <w:ilvl w:val="0"/>
          <w:numId w:val="1"/>
        </w:numPr>
        <w:autoSpaceDE/>
        <w:autoSpaceDN/>
        <w:adjustRightInd/>
        <w:spacing w:before="120" w:line="276" w:lineRule="auto"/>
        <w:ind w:left="714" w:hanging="357"/>
        <w:contextualSpacing/>
        <w:rPr>
          <w:rFonts w:asciiTheme="minorHAnsi" w:hAnsiTheme="minorHAnsi" w:cstheme="minorHAnsi"/>
        </w:rPr>
      </w:pPr>
      <w:r w:rsidRPr="00B010EC">
        <w:rPr>
          <w:rFonts w:asciiTheme="minorHAnsi" w:hAnsiTheme="minorHAnsi" w:cstheme="minorHAnsi"/>
        </w:rPr>
        <w:t>Assessment process</w:t>
      </w:r>
    </w:p>
    <w:p w:rsidR="00176718" w:rsidRPr="00B010EC" w:rsidRDefault="00176718" w:rsidP="00176718">
      <w:pPr>
        <w:pStyle w:val="ListParagraph"/>
        <w:widowControl/>
        <w:numPr>
          <w:ilvl w:val="0"/>
          <w:numId w:val="1"/>
        </w:numPr>
        <w:autoSpaceDE/>
        <w:autoSpaceDN/>
        <w:adjustRightInd/>
        <w:spacing w:before="120" w:line="276" w:lineRule="auto"/>
        <w:ind w:left="714" w:hanging="357"/>
        <w:contextualSpacing/>
        <w:rPr>
          <w:rFonts w:asciiTheme="minorHAnsi" w:hAnsiTheme="minorHAnsi" w:cstheme="minorHAnsi"/>
        </w:rPr>
      </w:pPr>
      <w:r w:rsidRPr="00B010EC">
        <w:rPr>
          <w:rFonts w:asciiTheme="minorHAnsi" w:hAnsiTheme="minorHAnsi" w:cstheme="minorHAnsi"/>
        </w:rPr>
        <w:t>Communication</w:t>
      </w:r>
    </w:p>
    <w:p w:rsidR="00176718" w:rsidRPr="00CE4DF5" w:rsidRDefault="00176718" w:rsidP="00176718">
      <w:pPr>
        <w:pStyle w:val="Heading2"/>
        <w:spacing w:before="120"/>
      </w:pPr>
      <w:r>
        <w:t>About the Office of the Australian Information Commissioner (OAIC)</w:t>
      </w:r>
    </w:p>
    <w:p w:rsidR="00176718" w:rsidRDefault="00176718" w:rsidP="00176718">
      <w:pPr>
        <w:spacing w:after="0" w:line="240" w:lineRule="auto"/>
        <w:rPr>
          <w:sz w:val="24"/>
          <w:szCs w:val="24"/>
        </w:rPr>
      </w:pPr>
    </w:p>
    <w:p w:rsidR="00176718" w:rsidRDefault="00176718" w:rsidP="00176718">
      <w:pPr>
        <w:spacing w:after="0" w:line="240" w:lineRule="auto"/>
        <w:rPr>
          <w:sz w:val="24"/>
          <w:szCs w:val="24"/>
        </w:rPr>
      </w:pPr>
      <w:r w:rsidRPr="0059268C">
        <w:rPr>
          <w:sz w:val="24"/>
          <w:szCs w:val="24"/>
        </w:rPr>
        <w:t xml:space="preserve">The OAIC is the independent national regulator for privacy and freedom of </w:t>
      </w:r>
      <w:r w:rsidRPr="007778E9">
        <w:rPr>
          <w:sz w:val="24"/>
          <w:szCs w:val="24"/>
        </w:rPr>
        <w:t xml:space="preserve">information (FOI). </w:t>
      </w:r>
    </w:p>
    <w:p w:rsidR="00176718" w:rsidRDefault="00176718" w:rsidP="00176718">
      <w:pPr>
        <w:spacing w:after="0" w:line="240" w:lineRule="auto"/>
        <w:rPr>
          <w:sz w:val="24"/>
          <w:szCs w:val="24"/>
        </w:rPr>
      </w:pPr>
    </w:p>
    <w:p w:rsidR="00176718" w:rsidRDefault="00176718" w:rsidP="00176718">
      <w:pPr>
        <w:spacing w:after="120" w:line="240" w:lineRule="auto"/>
        <w:rPr>
          <w:sz w:val="24"/>
          <w:szCs w:val="24"/>
        </w:rPr>
      </w:pPr>
      <w:r>
        <w:rPr>
          <w:sz w:val="24"/>
          <w:szCs w:val="24"/>
        </w:rPr>
        <w:t xml:space="preserve">It </w:t>
      </w:r>
      <w:r w:rsidRPr="0059268C">
        <w:rPr>
          <w:sz w:val="24"/>
          <w:szCs w:val="24"/>
        </w:rPr>
        <w:t>exercises certain functions under</w:t>
      </w:r>
      <w:r>
        <w:rPr>
          <w:sz w:val="24"/>
          <w:szCs w:val="24"/>
        </w:rPr>
        <w:t xml:space="preserve"> various Acts, including</w:t>
      </w:r>
      <w:r w:rsidRPr="0059268C">
        <w:rPr>
          <w:sz w:val="24"/>
          <w:szCs w:val="24"/>
        </w:rPr>
        <w:t xml:space="preserve"> the</w:t>
      </w:r>
      <w:r>
        <w:rPr>
          <w:sz w:val="24"/>
          <w:szCs w:val="24"/>
        </w:rPr>
        <w:t>:</w:t>
      </w:r>
    </w:p>
    <w:p w:rsidR="00176718" w:rsidRPr="00B010EC" w:rsidRDefault="00176718" w:rsidP="00176718">
      <w:pPr>
        <w:pStyle w:val="ListParagraph"/>
        <w:numPr>
          <w:ilvl w:val="0"/>
          <w:numId w:val="2"/>
        </w:numPr>
        <w:spacing w:after="120"/>
        <w:rPr>
          <w:rFonts w:asciiTheme="minorHAnsi" w:hAnsiTheme="minorHAnsi" w:cstheme="minorHAnsi"/>
        </w:rPr>
      </w:pPr>
      <w:r w:rsidRPr="00B010EC">
        <w:rPr>
          <w:rFonts w:asciiTheme="minorHAnsi" w:hAnsiTheme="minorHAnsi" w:cstheme="minorHAnsi"/>
          <w:i/>
        </w:rPr>
        <w:t>Privacy Act 1988</w:t>
      </w:r>
      <w:r w:rsidRPr="00B010EC">
        <w:rPr>
          <w:rFonts w:asciiTheme="minorHAnsi" w:hAnsiTheme="minorHAnsi" w:cstheme="minorHAnsi"/>
        </w:rPr>
        <w:t xml:space="preserve"> </w:t>
      </w:r>
    </w:p>
    <w:p w:rsidR="00176718" w:rsidRPr="00B010EC" w:rsidRDefault="00176718" w:rsidP="00176718">
      <w:pPr>
        <w:pStyle w:val="ListParagraph"/>
        <w:numPr>
          <w:ilvl w:val="0"/>
          <w:numId w:val="2"/>
        </w:numPr>
        <w:spacing w:after="120"/>
        <w:rPr>
          <w:rFonts w:asciiTheme="minorHAnsi" w:hAnsiTheme="minorHAnsi" w:cstheme="minorHAnsi"/>
        </w:rPr>
      </w:pPr>
      <w:r w:rsidRPr="00B010EC">
        <w:rPr>
          <w:rFonts w:asciiTheme="minorHAnsi" w:hAnsiTheme="minorHAnsi" w:cstheme="minorHAnsi"/>
          <w:i/>
        </w:rPr>
        <w:t>Freedom of Information Act 1982</w:t>
      </w:r>
      <w:r w:rsidRPr="00B010EC">
        <w:rPr>
          <w:rFonts w:asciiTheme="minorHAnsi" w:hAnsiTheme="minorHAnsi" w:cstheme="minorHAnsi"/>
        </w:rPr>
        <w:t xml:space="preserve"> (FOI Act) </w:t>
      </w:r>
    </w:p>
    <w:p w:rsidR="00176718" w:rsidRPr="00B010EC" w:rsidRDefault="00176718" w:rsidP="00176718">
      <w:pPr>
        <w:pStyle w:val="ListParagraph"/>
        <w:numPr>
          <w:ilvl w:val="0"/>
          <w:numId w:val="2"/>
        </w:numPr>
        <w:rPr>
          <w:rFonts w:asciiTheme="minorHAnsi" w:hAnsiTheme="minorHAnsi" w:cstheme="minorHAnsi"/>
        </w:rPr>
      </w:pPr>
      <w:r w:rsidRPr="00B010EC">
        <w:rPr>
          <w:rFonts w:asciiTheme="minorHAnsi" w:hAnsiTheme="minorHAnsi" w:cstheme="minorHAnsi"/>
          <w:i/>
        </w:rPr>
        <w:t>Australian Information Commissioner Act 2010</w:t>
      </w:r>
      <w:r w:rsidRPr="00B010EC">
        <w:rPr>
          <w:rFonts w:asciiTheme="minorHAnsi" w:hAnsiTheme="minorHAnsi" w:cstheme="minorHAnsi"/>
        </w:rPr>
        <w:t xml:space="preserve"> (AIC Act). </w:t>
      </w:r>
    </w:p>
    <w:p w:rsidR="00176718" w:rsidRPr="0059268C" w:rsidRDefault="00176718" w:rsidP="00176718">
      <w:pPr>
        <w:spacing w:after="0" w:line="240" w:lineRule="auto"/>
        <w:rPr>
          <w:sz w:val="24"/>
          <w:szCs w:val="24"/>
        </w:rPr>
      </w:pPr>
    </w:p>
    <w:p w:rsidR="00176718" w:rsidRDefault="00176718" w:rsidP="00176718">
      <w:pPr>
        <w:spacing w:after="0" w:line="240" w:lineRule="auto"/>
        <w:rPr>
          <w:sz w:val="24"/>
          <w:szCs w:val="24"/>
        </w:rPr>
      </w:pPr>
      <w:r w:rsidRPr="007778E9">
        <w:rPr>
          <w:sz w:val="24"/>
          <w:szCs w:val="24"/>
        </w:rPr>
        <w:t xml:space="preserve">The OAIC has a broad range of privacy, FOI and information functions. </w:t>
      </w:r>
    </w:p>
    <w:p w:rsidR="00176718" w:rsidRDefault="00176718" w:rsidP="00176718">
      <w:pPr>
        <w:spacing w:after="0" w:line="240" w:lineRule="auto"/>
        <w:rPr>
          <w:sz w:val="24"/>
          <w:szCs w:val="24"/>
        </w:rPr>
      </w:pPr>
    </w:p>
    <w:p w:rsidR="00176718" w:rsidRDefault="00176718" w:rsidP="00176718">
      <w:pPr>
        <w:spacing w:after="120" w:line="240" w:lineRule="auto"/>
        <w:rPr>
          <w:sz w:val="24"/>
          <w:szCs w:val="24"/>
        </w:rPr>
      </w:pPr>
      <w:r>
        <w:rPr>
          <w:sz w:val="24"/>
          <w:szCs w:val="24"/>
        </w:rPr>
        <w:t xml:space="preserve">For </w:t>
      </w:r>
      <w:r w:rsidRPr="0059268C">
        <w:rPr>
          <w:sz w:val="24"/>
          <w:szCs w:val="24"/>
        </w:rPr>
        <w:t>FOI</w:t>
      </w:r>
      <w:r>
        <w:rPr>
          <w:sz w:val="24"/>
          <w:szCs w:val="24"/>
        </w:rPr>
        <w:t>, the OAIC:</w:t>
      </w:r>
    </w:p>
    <w:p w:rsidR="00176718" w:rsidRPr="00B010EC" w:rsidRDefault="00176718" w:rsidP="00176718">
      <w:pPr>
        <w:pStyle w:val="ListParagraph"/>
        <w:numPr>
          <w:ilvl w:val="0"/>
          <w:numId w:val="3"/>
        </w:numPr>
        <w:spacing w:after="120"/>
        <w:rPr>
          <w:rFonts w:asciiTheme="minorHAnsi" w:hAnsiTheme="minorHAnsi" w:cstheme="minorHAnsi"/>
        </w:rPr>
      </w:pPr>
      <w:r w:rsidRPr="00B010EC">
        <w:rPr>
          <w:rFonts w:asciiTheme="minorHAnsi" w:hAnsiTheme="minorHAnsi" w:cstheme="minorHAnsi"/>
        </w:rPr>
        <w:t>reviews decisions that are made under the FOI Act</w:t>
      </w:r>
    </w:p>
    <w:p w:rsidR="00176718" w:rsidRPr="00B010EC" w:rsidRDefault="00176718" w:rsidP="00176718">
      <w:pPr>
        <w:pStyle w:val="ListParagraph"/>
        <w:numPr>
          <w:ilvl w:val="0"/>
          <w:numId w:val="3"/>
        </w:numPr>
        <w:spacing w:after="120"/>
        <w:rPr>
          <w:rFonts w:asciiTheme="minorHAnsi" w:hAnsiTheme="minorHAnsi" w:cstheme="minorHAnsi"/>
        </w:rPr>
      </w:pPr>
      <w:r w:rsidRPr="00B010EC">
        <w:rPr>
          <w:rFonts w:asciiTheme="minorHAnsi" w:hAnsiTheme="minorHAnsi" w:cstheme="minorHAnsi"/>
        </w:rPr>
        <w:t>handles FOI-related complaints</w:t>
      </w:r>
    </w:p>
    <w:p w:rsidR="00176718" w:rsidRPr="00B010EC" w:rsidRDefault="00176718" w:rsidP="00176718">
      <w:pPr>
        <w:pStyle w:val="ListParagraph"/>
        <w:numPr>
          <w:ilvl w:val="0"/>
          <w:numId w:val="3"/>
        </w:numPr>
        <w:rPr>
          <w:rFonts w:asciiTheme="minorHAnsi" w:hAnsiTheme="minorHAnsi" w:cstheme="minorHAnsi"/>
        </w:rPr>
      </w:pPr>
      <w:r w:rsidRPr="00B010EC">
        <w:rPr>
          <w:rFonts w:asciiTheme="minorHAnsi" w:hAnsiTheme="minorHAnsi" w:cstheme="minorHAnsi"/>
        </w:rPr>
        <w:t>advi</w:t>
      </w:r>
      <w:r>
        <w:rPr>
          <w:rFonts w:asciiTheme="minorHAnsi" w:hAnsiTheme="minorHAnsi" w:cstheme="minorHAnsi"/>
        </w:rPr>
        <w:t>s</w:t>
      </w:r>
      <w:r w:rsidRPr="00B010EC">
        <w:rPr>
          <w:rFonts w:asciiTheme="minorHAnsi" w:hAnsiTheme="minorHAnsi" w:cstheme="minorHAnsi"/>
        </w:rPr>
        <w:t>e</w:t>
      </w:r>
      <w:r>
        <w:rPr>
          <w:rFonts w:asciiTheme="minorHAnsi" w:hAnsiTheme="minorHAnsi" w:cstheme="minorHAnsi"/>
        </w:rPr>
        <w:t>s</w:t>
      </w:r>
      <w:r w:rsidRPr="00B010EC">
        <w:rPr>
          <w:rFonts w:asciiTheme="minorHAnsi" w:hAnsiTheme="minorHAnsi" w:cstheme="minorHAnsi"/>
        </w:rPr>
        <w:t xml:space="preserve"> the public, government agencies and businesses. </w:t>
      </w:r>
    </w:p>
    <w:p w:rsidR="00176718" w:rsidRDefault="00176718" w:rsidP="00176718">
      <w:pPr>
        <w:spacing w:after="0" w:line="240" w:lineRule="auto"/>
        <w:rPr>
          <w:sz w:val="24"/>
          <w:szCs w:val="24"/>
        </w:rPr>
      </w:pPr>
    </w:p>
    <w:p w:rsidR="00176718" w:rsidRDefault="00176718" w:rsidP="00176718">
      <w:pPr>
        <w:spacing w:after="0" w:line="240" w:lineRule="auto"/>
        <w:rPr>
          <w:sz w:val="24"/>
          <w:szCs w:val="24"/>
        </w:rPr>
      </w:pPr>
      <w:r w:rsidRPr="0059268C">
        <w:rPr>
          <w:sz w:val="24"/>
          <w:szCs w:val="24"/>
        </w:rPr>
        <w:t xml:space="preserve">The OAIC is headed by the </w:t>
      </w:r>
      <w:r w:rsidRPr="007778E9">
        <w:rPr>
          <w:sz w:val="24"/>
          <w:szCs w:val="24"/>
        </w:rPr>
        <w:t>Australian Information Commissioner</w:t>
      </w:r>
      <w:r w:rsidRPr="0059268C">
        <w:rPr>
          <w:sz w:val="24"/>
          <w:szCs w:val="24"/>
        </w:rPr>
        <w:t>, who is supported by a</w:t>
      </w:r>
      <w:r w:rsidRPr="007778E9">
        <w:rPr>
          <w:sz w:val="24"/>
          <w:szCs w:val="24"/>
        </w:rPr>
        <w:t xml:space="preserve"> Privacy Commissioner and an FOI Commissioner</w:t>
      </w:r>
      <w:r>
        <w:rPr>
          <w:sz w:val="24"/>
          <w:szCs w:val="24"/>
        </w:rPr>
        <w:t xml:space="preserve">. </w:t>
      </w:r>
      <w:r w:rsidRPr="0059268C">
        <w:rPr>
          <w:sz w:val="24"/>
          <w:szCs w:val="24"/>
        </w:rPr>
        <w:t xml:space="preserve">The </w:t>
      </w:r>
      <w:r>
        <w:rPr>
          <w:sz w:val="24"/>
          <w:szCs w:val="24"/>
        </w:rPr>
        <w:t>3</w:t>
      </w:r>
      <w:r w:rsidRPr="0059268C">
        <w:rPr>
          <w:sz w:val="24"/>
          <w:szCs w:val="24"/>
        </w:rPr>
        <w:t>-commissioner structure</w:t>
      </w:r>
      <w:r>
        <w:rPr>
          <w:sz w:val="24"/>
          <w:szCs w:val="24"/>
        </w:rPr>
        <w:t xml:space="preserve"> </w:t>
      </w:r>
      <w:r w:rsidRPr="0059268C">
        <w:rPr>
          <w:sz w:val="24"/>
          <w:szCs w:val="24"/>
        </w:rPr>
        <w:t>allows sufficient focus and advocacy on both privacy and FOI, while enabling the Australian Information Commissioner, as agency head, to focus on leading and administering the agency and performing the functions that role can exercise under statute (such as reporting to the Minister on any matter relating to the Government’s policies, practices and systems for information management).</w:t>
      </w:r>
      <w:r w:rsidRPr="007778E9">
        <w:rPr>
          <w:sz w:val="24"/>
          <w:szCs w:val="24"/>
        </w:rPr>
        <w:t xml:space="preserve"> </w:t>
      </w:r>
    </w:p>
    <w:p w:rsidR="00176718" w:rsidRDefault="00176718" w:rsidP="00176718">
      <w:pPr>
        <w:spacing w:after="0" w:line="240" w:lineRule="auto"/>
        <w:rPr>
          <w:sz w:val="24"/>
          <w:szCs w:val="24"/>
        </w:rPr>
      </w:pPr>
    </w:p>
    <w:p w:rsidR="00176718" w:rsidRPr="00C21985" w:rsidRDefault="00176718" w:rsidP="00176718">
      <w:pPr>
        <w:spacing w:after="0" w:line="240" w:lineRule="auto"/>
        <w:rPr>
          <w:sz w:val="24"/>
          <w:szCs w:val="24"/>
        </w:rPr>
      </w:pPr>
      <w:r w:rsidRPr="007778E9">
        <w:rPr>
          <w:sz w:val="24"/>
          <w:szCs w:val="24"/>
        </w:rPr>
        <w:t xml:space="preserve">The </w:t>
      </w:r>
      <w:r>
        <w:rPr>
          <w:sz w:val="24"/>
          <w:szCs w:val="24"/>
        </w:rPr>
        <w:t>3</w:t>
      </w:r>
      <w:r w:rsidRPr="0059268C">
        <w:rPr>
          <w:sz w:val="24"/>
          <w:szCs w:val="24"/>
        </w:rPr>
        <w:t xml:space="preserve"> commissioners are supported by</w:t>
      </w:r>
      <w:r w:rsidRPr="00C21985">
        <w:t xml:space="preserve"> a deputy FOI Commissioner and a deputy Privacy Commissioner, and staff at the OAIC.</w:t>
      </w:r>
    </w:p>
    <w:p w:rsidR="00BA163A" w:rsidRDefault="00BA163A"/>
    <w:p w:rsidR="00176718" w:rsidRPr="0059268C" w:rsidRDefault="00176718" w:rsidP="00176718">
      <w:pPr>
        <w:spacing w:after="0" w:line="240" w:lineRule="auto"/>
        <w:rPr>
          <w:sz w:val="24"/>
          <w:szCs w:val="24"/>
        </w:rPr>
      </w:pPr>
      <w:r>
        <w:rPr>
          <w:sz w:val="24"/>
          <w:szCs w:val="24"/>
        </w:rPr>
        <w:lastRenderedPageBreak/>
        <w:t xml:space="preserve">Visit the </w:t>
      </w:r>
      <w:hyperlink r:id="rId5" w:history="1">
        <w:r w:rsidRPr="00CE4FC7">
          <w:rPr>
            <w:rStyle w:val="Hyperlink"/>
            <w:sz w:val="24"/>
            <w:szCs w:val="24"/>
          </w:rPr>
          <w:t>OAIC web</w:t>
        </w:r>
        <w:r w:rsidRPr="00CE4FC7">
          <w:rPr>
            <w:rStyle w:val="Hyperlink"/>
            <w:sz w:val="24"/>
            <w:szCs w:val="24"/>
          </w:rPr>
          <w:t>s</w:t>
        </w:r>
        <w:r w:rsidRPr="00CE4FC7">
          <w:rPr>
            <w:rStyle w:val="Hyperlink"/>
            <w:sz w:val="24"/>
            <w:szCs w:val="24"/>
          </w:rPr>
          <w:t>ite</w:t>
        </w:r>
      </w:hyperlink>
      <w:r>
        <w:rPr>
          <w:sz w:val="24"/>
          <w:szCs w:val="24"/>
        </w:rPr>
        <w:t xml:space="preserve"> for more</w:t>
      </w:r>
      <w:r w:rsidRPr="0059268C">
        <w:rPr>
          <w:sz w:val="24"/>
          <w:szCs w:val="24"/>
        </w:rPr>
        <w:t xml:space="preserve"> information</w:t>
      </w:r>
      <w:r>
        <w:rPr>
          <w:sz w:val="24"/>
          <w:szCs w:val="24"/>
        </w:rPr>
        <w:t>.</w:t>
      </w:r>
    </w:p>
    <w:p w:rsidR="00176718" w:rsidRPr="007E7B77" w:rsidRDefault="00176718" w:rsidP="00176718">
      <w:pPr>
        <w:pStyle w:val="Heading2"/>
      </w:pPr>
      <w:r w:rsidRPr="007E7B77">
        <w:t xml:space="preserve">Role of the </w:t>
      </w:r>
      <w:r>
        <w:t>FOI Commissioner</w:t>
      </w:r>
    </w:p>
    <w:p w:rsidR="00176718" w:rsidRDefault="00176718" w:rsidP="00176718">
      <w:pPr>
        <w:spacing w:after="0" w:line="240" w:lineRule="auto"/>
        <w:rPr>
          <w:sz w:val="24"/>
          <w:szCs w:val="24"/>
        </w:rPr>
      </w:pPr>
      <w:r w:rsidRPr="004212A7">
        <w:rPr>
          <w:sz w:val="24"/>
          <w:szCs w:val="24"/>
        </w:rPr>
        <w:t>The FOI Commissioner</w:t>
      </w:r>
      <w:r>
        <w:rPr>
          <w:sz w:val="24"/>
          <w:szCs w:val="24"/>
        </w:rPr>
        <w:t xml:space="preserve"> is a statutory office holder</w:t>
      </w:r>
      <w:r w:rsidRPr="004212A7">
        <w:rPr>
          <w:sz w:val="24"/>
          <w:szCs w:val="24"/>
        </w:rPr>
        <w:t>, appointed under section 14 of the AIC Act.</w:t>
      </w:r>
    </w:p>
    <w:p w:rsidR="00176718" w:rsidRPr="004212A7" w:rsidRDefault="00176718" w:rsidP="00176718">
      <w:pPr>
        <w:spacing w:after="0" w:line="240" w:lineRule="auto"/>
        <w:rPr>
          <w:sz w:val="24"/>
          <w:szCs w:val="24"/>
        </w:rPr>
      </w:pPr>
    </w:p>
    <w:p w:rsidR="00176718" w:rsidRDefault="00176718" w:rsidP="00176718">
      <w:pPr>
        <w:spacing w:after="0" w:line="240" w:lineRule="auto"/>
        <w:rPr>
          <w:sz w:val="24"/>
          <w:szCs w:val="24"/>
        </w:rPr>
      </w:pPr>
      <w:r w:rsidRPr="004212A7">
        <w:rPr>
          <w:sz w:val="24"/>
          <w:szCs w:val="24"/>
        </w:rPr>
        <w:t xml:space="preserve">The FOI Commissioner is responsible </w:t>
      </w:r>
      <w:r w:rsidRPr="00773D98">
        <w:rPr>
          <w:sz w:val="24"/>
          <w:szCs w:val="24"/>
        </w:rPr>
        <w:t>for the efficient and effective management</w:t>
      </w:r>
      <w:r w:rsidRPr="004212A7">
        <w:rPr>
          <w:sz w:val="24"/>
          <w:szCs w:val="24"/>
        </w:rPr>
        <w:t xml:space="preserve"> of FOI functions</w:t>
      </w:r>
      <w:r>
        <w:rPr>
          <w:sz w:val="24"/>
          <w:szCs w:val="24"/>
        </w:rPr>
        <w:t>. The purpose of these functions is to</w:t>
      </w:r>
      <w:r w:rsidRPr="004212A7">
        <w:rPr>
          <w:sz w:val="24"/>
          <w:szCs w:val="24"/>
        </w:rPr>
        <w:t xml:space="preserve"> </w:t>
      </w:r>
      <w:r>
        <w:rPr>
          <w:sz w:val="24"/>
          <w:szCs w:val="24"/>
        </w:rPr>
        <w:t>give</w:t>
      </w:r>
      <w:r w:rsidRPr="004212A7">
        <w:rPr>
          <w:sz w:val="24"/>
          <w:szCs w:val="24"/>
        </w:rPr>
        <w:t xml:space="preserve"> the </w:t>
      </w:r>
      <w:r>
        <w:rPr>
          <w:sz w:val="24"/>
          <w:szCs w:val="24"/>
        </w:rPr>
        <w:t>public</w:t>
      </w:r>
      <w:r w:rsidRPr="004212A7">
        <w:rPr>
          <w:sz w:val="24"/>
          <w:szCs w:val="24"/>
        </w:rPr>
        <w:t xml:space="preserve"> access to information held by the </w:t>
      </w:r>
      <w:r>
        <w:rPr>
          <w:sz w:val="24"/>
          <w:szCs w:val="24"/>
        </w:rPr>
        <w:t>Australian</w:t>
      </w:r>
      <w:r w:rsidRPr="004212A7">
        <w:rPr>
          <w:sz w:val="24"/>
          <w:szCs w:val="24"/>
        </w:rPr>
        <w:t xml:space="preserve"> Government in accordance with the FOI Act (and other Acts). </w:t>
      </w:r>
    </w:p>
    <w:p w:rsidR="00176718" w:rsidRDefault="00176718" w:rsidP="00176718">
      <w:pPr>
        <w:spacing w:after="0" w:line="240" w:lineRule="auto"/>
        <w:rPr>
          <w:sz w:val="24"/>
          <w:szCs w:val="24"/>
        </w:rPr>
      </w:pPr>
    </w:p>
    <w:p w:rsidR="00176718" w:rsidRDefault="00176718" w:rsidP="00176718">
      <w:pPr>
        <w:spacing w:after="120" w:line="240" w:lineRule="auto"/>
        <w:rPr>
          <w:sz w:val="24"/>
          <w:szCs w:val="24"/>
        </w:rPr>
      </w:pPr>
      <w:r>
        <w:rPr>
          <w:sz w:val="24"/>
          <w:szCs w:val="24"/>
        </w:rPr>
        <w:t>FOI</w:t>
      </w:r>
      <w:r w:rsidRPr="004212A7">
        <w:rPr>
          <w:sz w:val="24"/>
          <w:szCs w:val="24"/>
        </w:rPr>
        <w:t xml:space="preserve"> functions include</w:t>
      </w:r>
      <w:r>
        <w:rPr>
          <w:sz w:val="24"/>
          <w:szCs w:val="24"/>
        </w:rPr>
        <w:t xml:space="preserve"> the following:</w:t>
      </w:r>
    </w:p>
    <w:p w:rsidR="00176718" w:rsidRPr="00B010EC" w:rsidRDefault="00176718" w:rsidP="00176718">
      <w:pPr>
        <w:pStyle w:val="ListParagraph"/>
        <w:numPr>
          <w:ilvl w:val="0"/>
          <w:numId w:val="5"/>
        </w:numPr>
        <w:spacing w:after="120"/>
        <w:rPr>
          <w:rFonts w:asciiTheme="minorHAnsi" w:hAnsiTheme="minorHAnsi" w:cstheme="minorHAnsi"/>
        </w:rPr>
      </w:pPr>
      <w:r w:rsidRPr="00B010EC">
        <w:rPr>
          <w:rFonts w:asciiTheme="minorHAnsi" w:hAnsiTheme="minorHAnsi" w:cstheme="minorHAnsi"/>
        </w:rPr>
        <w:t>promote awareness and understanding of the FOI Act and the objects of that Act</w:t>
      </w:r>
      <w:r>
        <w:rPr>
          <w:rFonts w:asciiTheme="minorHAnsi" w:hAnsiTheme="minorHAnsi" w:cstheme="minorHAnsi"/>
        </w:rPr>
        <w:t xml:space="preserve"> </w:t>
      </w:r>
    </w:p>
    <w:p w:rsidR="00176718" w:rsidRPr="00B010EC" w:rsidRDefault="00176718" w:rsidP="00176718">
      <w:pPr>
        <w:pStyle w:val="ListParagraph"/>
        <w:numPr>
          <w:ilvl w:val="0"/>
          <w:numId w:val="5"/>
        </w:numPr>
        <w:spacing w:after="120"/>
        <w:rPr>
          <w:rFonts w:asciiTheme="minorHAnsi" w:hAnsiTheme="minorHAnsi" w:cstheme="minorHAnsi"/>
        </w:rPr>
      </w:pPr>
      <w:r w:rsidRPr="00B010EC">
        <w:rPr>
          <w:rFonts w:asciiTheme="minorHAnsi" w:hAnsiTheme="minorHAnsi" w:cstheme="minorHAnsi"/>
        </w:rPr>
        <w:t>conduct reviews of FOI decisions made by agencies and ministers</w:t>
      </w:r>
      <w:r>
        <w:rPr>
          <w:rFonts w:asciiTheme="minorHAnsi" w:hAnsiTheme="minorHAnsi" w:cstheme="minorHAnsi"/>
        </w:rPr>
        <w:t xml:space="preserve"> </w:t>
      </w:r>
    </w:p>
    <w:p w:rsidR="00176718" w:rsidRPr="00B010EC" w:rsidRDefault="00176718" w:rsidP="00176718">
      <w:pPr>
        <w:pStyle w:val="ListParagraph"/>
        <w:numPr>
          <w:ilvl w:val="0"/>
          <w:numId w:val="5"/>
        </w:numPr>
        <w:spacing w:after="120"/>
        <w:rPr>
          <w:rFonts w:asciiTheme="minorHAnsi" w:hAnsiTheme="minorHAnsi" w:cstheme="minorHAnsi"/>
        </w:rPr>
      </w:pPr>
      <w:r w:rsidRPr="00B010EC">
        <w:rPr>
          <w:rFonts w:asciiTheme="minorHAnsi" w:hAnsiTheme="minorHAnsi" w:cstheme="minorHAnsi"/>
        </w:rPr>
        <w:t>monitor and undertake investigations and carry out other compliance activities</w:t>
      </w:r>
      <w:r>
        <w:rPr>
          <w:rFonts w:asciiTheme="minorHAnsi" w:hAnsiTheme="minorHAnsi" w:cstheme="minorHAnsi"/>
        </w:rPr>
        <w:t xml:space="preserve"> </w:t>
      </w:r>
    </w:p>
    <w:p w:rsidR="00176718" w:rsidRPr="00B010EC" w:rsidRDefault="00176718" w:rsidP="00176718">
      <w:pPr>
        <w:pStyle w:val="ListParagraph"/>
        <w:numPr>
          <w:ilvl w:val="0"/>
          <w:numId w:val="5"/>
        </w:numPr>
        <w:spacing w:after="120"/>
        <w:rPr>
          <w:rFonts w:asciiTheme="minorHAnsi" w:hAnsiTheme="minorHAnsi" w:cstheme="minorHAnsi"/>
        </w:rPr>
      </w:pPr>
      <w:r w:rsidRPr="00B010EC">
        <w:rPr>
          <w:rFonts w:asciiTheme="minorHAnsi" w:hAnsiTheme="minorHAnsi" w:cstheme="minorHAnsi"/>
        </w:rPr>
        <w:t>make and enforce decisions</w:t>
      </w:r>
      <w:r>
        <w:rPr>
          <w:rFonts w:asciiTheme="minorHAnsi" w:hAnsiTheme="minorHAnsi" w:cstheme="minorHAnsi"/>
        </w:rPr>
        <w:t xml:space="preserve"> </w:t>
      </w:r>
    </w:p>
    <w:p w:rsidR="00176718" w:rsidRPr="00B010EC" w:rsidRDefault="00176718" w:rsidP="00176718">
      <w:pPr>
        <w:pStyle w:val="ListParagraph"/>
        <w:numPr>
          <w:ilvl w:val="0"/>
          <w:numId w:val="5"/>
        </w:numPr>
        <w:rPr>
          <w:rFonts w:asciiTheme="minorHAnsi" w:hAnsiTheme="minorHAnsi" w:cstheme="minorHAnsi"/>
        </w:rPr>
      </w:pPr>
      <w:r w:rsidRPr="00B010EC">
        <w:rPr>
          <w:rFonts w:asciiTheme="minorHAnsi" w:hAnsiTheme="minorHAnsi" w:cstheme="minorHAnsi"/>
        </w:rPr>
        <w:t xml:space="preserve">report on FOI matters. </w:t>
      </w:r>
    </w:p>
    <w:p w:rsidR="00176718" w:rsidRPr="004212A7" w:rsidRDefault="00176718" w:rsidP="00176718">
      <w:pPr>
        <w:spacing w:after="0" w:line="240" w:lineRule="auto"/>
        <w:rPr>
          <w:sz w:val="24"/>
          <w:szCs w:val="24"/>
        </w:rPr>
      </w:pPr>
    </w:p>
    <w:p w:rsidR="00176718" w:rsidRDefault="00176718" w:rsidP="00176718">
      <w:pPr>
        <w:spacing w:after="0" w:line="240" w:lineRule="auto"/>
        <w:rPr>
          <w:sz w:val="24"/>
          <w:szCs w:val="24"/>
        </w:rPr>
      </w:pPr>
      <w:r w:rsidRPr="004212A7">
        <w:rPr>
          <w:sz w:val="24"/>
          <w:szCs w:val="24"/>
        </w:rPr>
        <w:t xml:space="preserve">The FOI Commissioner </w:t>
      </w:r>
      <w:r w:rsidRPr="00661800">
        <w:rPr>
          <w:sz w:val="24"/>
          <w:szCs w:val="24"/>
        </w:rPr>
        <w:t xml:space="preserve">will be expected to support the </w:t>
      </w:r>
      <w:r>
        <w:rPr>
          <w:sz w:val="24"/>
          <w:szCs w:val="24"/>
        </w:rPr>
        <w:t xml:space="preserve">strategic </w:t>
      </w:r>
      <w:r w:rsidRPr="00661800">
        <w:rPr>
          <w:sz w:val="24"/>
          <w:szCs w:val="24"/>
        </w:rPr>
        <w:t>direction of the OAIC as determined and managed by the Australian Information Commissioner</w:t>
      </w:r>
      <w:r w:rsidRPr="004212A7">
        <w:rPr>
          <w:sz w:val="24"/>
          <w:szCs w:val="24"/>
        </w:rPr>
        <w:t>.</w:t>
      </w:r>
      <w:r>
        <w:rPr>
          <w:sz w:val="24"/>
          <w:szCs w:val="24"/>
        </w:rPr>
        <w:t xml:space="preserve"> </w:t>
      </w:r>
    </w:p>
    <w:p w:rsidR="00176718" w:rsidRDefault="00176718" w:rsidP="00176718">
      <w:pPr>
        <w:spacing w:after="0" w:line="240" w:lineRule="auto"/>
        <w:rPr>
          <w:sz w:val="24"/>
          <w:szCs w:val="24"/>
        </w:rPr>
      </w:pPr>
    </w:p>
    <w:p w:rsidR="00176718" w:rsidRPr="004212A7" w:rsidRDefault="00176718" w:rsidP="00176718">
      <w:pPr>
        <w:spacing w:after="0" w:line="240" w:lineRule="auto"/>
        <w:rPr>
          <w:sz w:val="24"/>
          <w:szCs w:val="24"/>
        </w:rPr>
      </w:pPr>
      <w:r>
        <w:rPr>
          <w:sz w:val="24"/>
          <w:szCs w:val="24"/>
        </w:rPr>
        <w:t>The FOI Commissioner may, from time to time, be required to perform other functions under the AIC Act.</w:t>
      </w:r>
    </w:p>
    <w:p w:rsidR="00176718" w:rsidRPr="00CE4DF5" w:rsidRDefault="00176718" w:rsidP="00176718">
      <w:pPr>
        <w:pStyle w:val="Heading2"/>
      </w:pPr>
      <w:r w:rsidRPr="00CE4DF5">
        <w:t>Eligibility</w:t>
      </w:r>
    </w:p>
    <w:p w:rsidR="00176718" w:rsidRDefault="00176718" w:rsidP="00176718">
      <w:pPr>
        <w:spacing w:after="0" w:line="240" w:lineRule="auto"/>
        <w:rPr>
          <w:sz w:val="24"/>
          <w:szCs w:val="24"/>
        </w:rPr>
      </w:pPr>
      <w:bookmarkStart w:id="0" w:name="_Hlk192073910"/>
      <w:r>
        <w:rPr>
          <w:sz w:val="24"/>
          <w:szCs w:val="24"/>
        </w:rPr>
        <w:t xml:space="preserve">To be considered for </w:t>
      </w:r>
      <w:r w:rsidRPr="004212A7">
        <w:rPr>
          <w:sz w:val="24"/>
          <w:szCs w:val="24"/>
        </w:rPr>
        <w:t xml:space="preserve">appointment as FOI Commissioner, </w:t>
      </w:r>
      <w:r>
        <w:rPr>
          <w:sz w:val="24"/>
          <w:szCs w:val="24"/>
        </w:rPr>
        <w:t>you</w:t>
      </w:r>
      <w:r w:rsidRPr="004212A7">
        <w:rPr>
          <w:sz w:val="24"/>
          <w:szCs w:val="24"/>
        </w:rPr>
        <w:t xml:space="preserve"> must have a degree from a </w:t>
      </w:r>
      <w:r w:rsidRPr="00773D98">
        <w:rPr>
          <w:sz w:val="24"/>
          <w:szCs w:val="24"/>
        </w:rPr>
        <w:t>university, or an educational qualification of a similar standing, in the field of law.</w:t>
      </w:r>
    </w:p>
    <w:p w:rsidR="00176718" w:rsidRPr="00773D98" w:rsidRDefault="00176718" w:rsidP="00176718">
      <w:pPr>
        <w:spacing w:after="0" w:line="240" w:lineRule="auto"/>
        <w:rPr>
          <w:sz w:val="24"/>
          <w:szCs w:val="24"/>
        </w:rPr>
      </w:pPr>
    </w:p>
    <w:p w:rsidR="00176718" w:rsidRDefault="00176718" w:rsidP="00176718">
      <w:pPr>
        <w:spacing w:after="0" w:line="240" w:lineRule="auto"/>
        <w:rPr>
          <w:sz w:val="24"/>
          <w:szCs w:val="24"/>
        </w:rPr>
      </w:pPr>
      <w:r>
        <w:rPr>
          <w:sz w:val="24"/>
          <w:szCs w:val="24"/>
        </w:rPr>
        <w:t>You</w:t>
      </w:r>
      <w:r w:rsidRPr="00773D98">
        <w:rPr>
          <w:sz w:val="24"/>
          <w:szCs w:val="24"/>
        </w:rPr>
        <w:t xml:space="preserve"> must also have, or be able to hold, a Negative Vetting 2 security clearance. </w:t>
      </w:r>
    </w:p>
    <w:p w:rsidR="00176718" w:rsidRDefault="00176718" w:rsidP="00176718">
      <w:pPr>
        <w:spacing w:after="0" w:line="240" w:lineRule="auto"/>
        <w:rPr>
          <w:sz w:val="24"/>
          <w:szCs w:val="24"/>
        </w:rPr>
      </w:pPr>
    </w:p>
    <w:p w:rsidR="00176718" w:rsidRDefault="00176718" w:rsidP="00176718">
      <w:pPr>
        <w:spacing w:after="0" w:line="240" w:lineRule="auto"/>
        <w:rPr>
          <w:sz w:val="24"/>
          <w:szCs w:val="24"/>
        </w:rPr>
      </w:pPr>
      <w:r w:rsidRPr="00773D98">
        <w:rPr>
          <w:sz w:val="24"/>
          <w:szCs w:val="24"/>
        </w:rPr>
        <w:t>To be</w:t>
      </w:r>
      <w:r w:rsidRPr="004212A7">
        <w:rPr>
          <w:sz w:val="24"/>
          <w:szCs w:val="24"/>
        </w:rPr>
        <w:t xml:space="preserve"> eligible for an Australian Government </w:t>
      </w:r>
      <w:r w:rsidRPr="00661800">
        <w:rPr>
          <w:sz w:val="24"/>
          <w:szCs w:val="24"/>
        </w:rPr>
        <w:t>security clearance</w:t>
      </w:r>
      <w:r w:rsidRPr="004212A7">
        <w:rPr>
          <w:sz w:val="24"/>
          <w:szCs w:val="24"/>
        </w:rPr>
        <w:t>, you must be an Australian citizen and have a checkable background.</w:t>
      </w:r>
      <w:r>
        <w:rPr>
          <w:sz w:val="24"/>
          <w:szCs w:val="24"/>
        </w:rPr>
        <w:t xml:space="preserve"> For information about security clearances, visit the </w:t>
      </w:r>
      <w:hyperlink r:id="rId6" w:history="1">
        <w:r w:rsidRPr="00DE295E">
          <w:rPr>
            <w:rStyle w:val="Hyperlink"/>
            <w:sz w:val="24"/>
            <w:szCs w:val="24"/>
          </w:rPr>
          <w:t>Australian Government Security Vetting Agency</w:t>
        </w:r>
        <w:r w:rsidRPr="00DE295E">
          <w:rPr>
            <w:rStyle w:val="Hyperlink"/>
            <w:sz w:val="24"/>
            <w:szCs w:val="24"/>
          </w:rPr>
          <w:t xml:space="preserve"> </w:t>
        </w:r>
        <w:r w:rsidRPr="00DE295E">
          <w:rPr>
            <w:rStyle w:val="Hyperlink"/>
            <w:sz w:val="24"/>
            <w:szCs w:val="24"/>
          </w:rPr>
          <w:t>website</w:t>
        </w:r>
      </w:hyperlink>
      <w:r>
        <w:rPr>
          <w:sz w:val="24"/>
          <w:szCs w:val="24"/>
        </w:rPr>
        <w:t>.</w:t>
      </w:r>
    </w:p>
    <w:bookmarkEnd w:id="0"/>
    <w:p w:rsidR="00176718" w:rsidRPr="00CE4DF5" w:rsidRDefault="00176718" w:rsidP="00176718">
      <w:pPr>
        <w:pStyle w:val="Heading2"/>
      </w:pPr>
      <w:r w:rsidRPr="00CE4DF5">
        <w:t xml:space="preserve">Selection </w:t>
      </w:r>
      <w:r>
        <w:t>c</w:t>
      </w:r>
      <w:r w:rsidRPr="00CE4DF5">
        <w:t>riteria</w:t>
      </w:r>
    </w:p>
    <w:p w:rsidR="00176718" w:rsidRDefault="00176718" w:rsidP="00176718">
      <w:pPr>
        <w:rPr>
          <w:rFonts w:asciiTheme="minorHAnsi" w:hAnsiTheme="minorHAnsi"/>
        </w:rPr>
      </w:pPr>
      <w:r w:rsidRPr="00B010EC">
        <w:rPr>
          <w:rFonts w:cstheme="minorHAnsi"/>
          <w:sz w:val="24"/>
          <w:szCs w:val="24"/>
        </w:rPr>
        <w:t>In addition to meeting the eligibility criteria as set out above, applicants will need to:</w:t>
      </w:r>
    </w:p>
    <w:p w:rsidR="00176718" w:rsidRPr="00B010EC" w:rsidRDefault="00176718" w:rsidP="00176718">
      <w:pPr>
        <w:pStyle w:val="ListParagraph"/>
        <w:numPr>
          <w:ilvl w:val="0"/>
          <w:numId w:val="6"/>
        </w:numPr>
        <w:rPr>
          <w:rFonts w:asciiTheme="minorHAnsi" w:eastAsia="Calibri" w:hAnsiTheme="minorHAnsi"/>
          <w:w w:val="105"/>
          <w:lang w:eastAsia="en-US"/>
        </w:rPr>
      </w:pPr>
      <w:r w:rsidRPr="00B010EC">
        <w:rPr>
          <w:rFonts w:asciiTheme="minorHAnsi" w:hAnsiTheme="minorHAnsi"/>
        </w:rPr>
        <w:t>have significant knowledge of and/or experience in administrative decision making and/or merits review, and knowledge of the FOI Act, Privacy Act and other legislation relevant to information management</w:t>
      </w:r>
    </w:p>
    <w:p w:rsidR="00176718" w:rsidRDefault="00176718" w:rsidP="00176718">
      <w:pPr>
        <w:pStyle w:val="ListParagraph"/>
        <w:widowControl/>
        <w:numPr>
          <w:ilvl w:val="0"/>
          <w:numId w:val="4"/>
        </w:numPr>
        <w:autoSpaceDE/>
        <w:autoSpaceDN/>
        <w:adjustRightInd/>
        <w:spacing w:before="240" w:after="200" w:line="276" w:lineRule="auto"/>
        <w:contextualSpacing/>
        <w:rPr>
          <w:rFonts w:asciiTheme="minorHAnsi" w:hAnsiTheme="minorHAnsi" w:cstheme="minorHAnsi"/>
        </w:rPr>
      </w:pPr>
      <w:r w:rsidRPr="00F0586A">
        <w:rPr>
          <w:rFonts w:asciiTheme="minorHAnsi" w:hAnsiTheme="minorHAnsi" w:cstheme="minorHAnsi"/>
        </w:rPr>
        <w:t>be a strong leader, with the capacity to lead and manage complex operations including people management</w:t>
      </w:r>
    </w:p>
    <w:p w:rsidR="00176718" w:rsidRPr="00176718" w:rsidRDefault="00176718" w:rsidP="00176718">
      <w:pPr>
        <w:pStyle w:val="ListParagraph"/>
        <w:widowControl/>
        <w:numPr>
          <w:ilvl w:val="0"/>
          <w:numId w:val="4"/>
        </w:numPr>
        <w:autoSpaceDE/>
        <w:autoSpaceDN/>
        <w:adjustRightInd/>
        <w:spacing w:before="240" w:after="200" w:line="276" w:lineRule="auto"/>
        <w:contextualSpacing/>
        <w:rPr>
          <w:rFonts w:asciiTheme="minorHAnsi" w:hAnsiTheme="minorHAnsi" w:cstheme="minorHAnsi"/>
        </w:rPr>
      </w:pPr>
      <w:r w:rsidRPr="00176718">
        <w:rPr>
          <w:rFonts w:asciiTheme="minorHAnsi" w:hAnsiTheme="minorHAnsi" w:cstheme="minorHAnsi"/>
        </w:rPr>
        <w:lastRenderedPageBreak/>
        <w:t>have the ability to provide positive cultural, strategic and professional leadership of the highest order to OAIC staff</w:t>
      </w:r>
    </w:p>
    <w:p w:rsidR="00176718" w:rsidRPr="00F0586A" w:rsidRDefault="00176718" w:rsidP="00176718">
      <w:pPr>
        <w:pStyle w:val="ListParagraph"/>
        <w:widowControl/>
        <w:numPr>
          <w:ilvl w:val="0"/>
          <w:numId w:val="4"/>
        </w:numPr>
        <w:autoSpaceDE/>
        <w:autoSpaceDN/>
        <w:adjustRightInd/>
        <w:spacing w:before="240" w:after="200" w:line="276" w:lineRule="auto"/>
        <w:contextualSpacing/>
        <w:rPr>
          <w:rFonts w:asciiTheme="minorHAnsi" w:hAnsiTheme="minorHAnsi" w:cstheme="minorHAnsi"/>
        </w:rPr>
      </w:pPr>
      <w:r w:rsidRPr="00F0586A">
        <w:rPr>
          <w:rFonts w:asciiTheme="minorHAnsi" w:hAnsiTheme="minorHAnsi" w:cstheme="minorHAnsi"/>
        </w:rPr>
        <w:t>have the capacity to make sound decisions, lead investigations and resolve complaints, including through alternative dispute resolution</w:t>
      </w:r>
    </w:p>
    <w:p w:rsidR="00176718" w:rsidRPr="00F0586A" w:rsidRDefault="00176718" w:rsidP="00176718">
      <w:pPr>
        <w:pStyle w:val="ListParagraph"/>
        <w:widowControl/>
        <w:numPr>
          <w:ilvl w:val="0"/>
          <w:numId w:val="4"/>
        </w:numPr>
        <w:autoSpaceDE/>
        <w:autoSpaceDN/>
        <w:adjustRightInd/>
        <w:spacing w:before="240" w:after="200" w:line="276" w:lineRule="auto"/>
        <w:contextualSpacing/>
        <w:rPr>
          <w:rFonts w:asciiTheme="minorHAnsi" w:hAnsiTheme="minorHAnsi" w:cstheme="minorHAnsi"/>
        </w:rPr>
      </w:pPr>
      <w:r w:rsidRPr="00F0586A">
        <w:rPr>
          <w:rFonts w:asciiTheme="minorHAnsi" w:hAnsiTheme="minorHAnsi" w:cstheme="minorHAnsi"/>
        </w:rPr>
        <w:t xml:space="preserve">work constructively with </w:t>
      </w:r>
      <w:r>
        <w:rPr>
          <w:rFonts w:asciiTheme="minorHAnsi" w:hAnsiTheme="minorHAnsi" w:cstheme="minorHAnsi"/>
        </w:rPr>
        <w:t>g</w:t>
      </w:r>
      <w:r w:rsidRPr="00F0586A">
        <w:rPr>
          <w:rFonts w:asciiTheme="minorHAnsi" w:hAnsiTheme="minorHAnsi" w:cstheme="minorHAnsi"/>
        </w:rPr>
        <w:t>overnment to advance FOI law issues</w:t>
      </w:r>
      <w:bookmarkStart w:id="1" w:name="_Hlk192075297"/>
    </w:p>
    <w:bookmarkEnd w:id="1"/>
    <w:p w:rsidR="00176718" w:rsidRPr="00B010EC" w:rsidRDefault="00176718" w:rsidP="00176718">
      <w:pPr>
        <w:pStyle w:val="ListParagraph"/>
        <w:widowControl/>
        <w:numPr>
          <w:ilvl w:val="0"/>
          <w:numId w:val="4"/>
        </w:numPr>
        <w:adjustRightInd/>
        <w:spacing w:line="276" w:lineRule="auto"/>
        <w:rPr>
          <w:rFonts w:asciiTheme="minorHAnsi" w:eastAsiaTheme="minorHAnsi" w:hAnsiTheme="minorHAnsi" w:cstheme="minorHAnsi"/>
          <w:color w:val="000000"/>
          <w:w w:val="105"/>
          <w:kern w:val="40"/>
          <w:lang w:eastAsia="en-US"/>
        </w:rPr>
      </w:pPr>
      <w:r w:rsidRPr="00B010EC">
        <w:rPr>
          <w:rFonts w:asciiTheme="minorHAnsi" w:hAnsiTheme="minorHAnsi" w:cstheme="minorHAnsi"/>
          <w:color w:val="000000"/>
        </w:rPr>
        <w:t xml:space="preserve">meet the following </w:t>
      </w:r>
      <w:bookmarkStart w:id="2" w:name="_Hlk192075356"/>
      <w:r w:rsidRPr="00B010EC">
        <w:rPr>
          <w:rFonts w:asciiTheme="minorHAnsi" w:hAnsiTheme="minorHAnsi" w:cstheme="minorHAnsi"/>
          <w:color w:val="000000"/>
        </w:rPr>
        <w:t xml:space="preserve">selection criteria consistent with the APSC Merit and Transparency </w:t>
      </w:r>
      <w:r w:rsidRPr="00B010EC">
        <w:rPr>
          <w:rFonts w:asciiTheme="minorHAnsi" w:eastAsia="Calibri" w:hAnsiTheme="minorHAnsi" w:cstheme="minorHAnsi"/>
          <w:color w:val="000000"/>
          <w:w w:val="105"/>
          <w:kern w:val="40"/>
          <w:lang w:eastAsia="en-US"/>
        </w:rPr>
        <w:t>Guidelines for APS statutory office holder appointments</w:t>
      </w:r>
      <w:bookmarkEnd w:id="2"/>
      <w:r w:rsidRPr="00B010EC">
        <w:rPr>
          <w:rFonts w:asciiTheme="minorHAnsi" w:eastAsia="Calibri" w:hAnsiTheme="minorHAnsi" w:cstheme="minorHAnsi"/>
          <w:color w:val="000000"/>
          <w:w w:val="105"/>
          <w:kern w:val="40"/>
          <w:lang w:eastAsia="en-US"/>
        </w:rPr>
        <w:t>:</w:t>
      </w:r>
    </w:p>
    <w:p w:rsidR="00176718" w:rsidRPr="00B010EC" w:rsidRDefault="00176718" w:rsidP="00176718">
      <w:pPr>
        <w:pStyle w:val="ListParagraph"/>
        <w:widowControl/>
        <w:numPr>
          <w:ilvl w:val="1"/>
          <w:numId w:val="4"/>
        </w:numPr>
        <w:adjustRightInd/>
        <w:spacing w:before="60" w:line="276" w:lineRule="auto"/>
        <w:rPr>
          <w:rFonts w:asciiTheme="minorHAnsi" w:hAnsiTheme="minorHAnsi" w:cstheme="minorHAnsi"/>
          <w:color w:val="000000"/>
        </w:rPr>
      </w:pPr>
      <w:r w:rsidRPr="00B010EC">
        <w:rPr>
          <w:rFonts w:asciiTheme="minorHAnsi" w:hAnsiTheme="minorHAnsi" w:cstheme="minorHAnsi"/>
          <w:color w:val="000000"/>
        </w:rPr>
        <w:t>Shapes strategic thinking</w:t>
      </w:r>
    </w:p>
    <w:p w:rsidR="00176718" w:rsidRPr="00B010EC" w:rsidRDefault="00176718" w:rsidP="00176718">
      <w:pPr>
        <w:pStyle w:val="ListParagraph"/>
        <w:widowControl/>
        <w:numPr>
          <w:ilvl w:val="2"/>
          <w:numId w:val="7"/>
        </w:numPr>
        <w:adjustRightInd/>
        <w:spacing w:line="276" w:lineRule="auto"/>
        <w:contextualSpacing/>
        <w:rPr>
          <w:rFonts w:asciiTheme="minorHAnsi" w:hAnsiTheme="minorHAnsi" w:cstheme="minorHAnsi"/>
          <w:color w:val="000000"/>
        </w:rPr>
      </w:pPr>
      <w:r w:rsidRPr="00B010EC">
        <w:rPr>
          <w:rFonts w:asciiTheme="minorHAnsi" w:hAnsiTheme="minorHAnsi" w:cstheme="minorHAnsi"/>
          <w:color w:val="000000"/>
        </w:rPr>
        <w:t>Inspires a sense of purpose and direction</w:t>
      </w:r>
    </w:p>
    <w:p w:rsidR="00176718" w:rsidRPr="00B010EC" w:rsidRDefault="00176718" w:rsidP="00176718">
      <w:pPr>
        <w:pStyle w:val="ListParagraph"/>
        <w:widowControl/>
        <w:numPr>
          <w:ilvl w:val="2"/>
          <w:numId w:val="7"/>
        </w:numPr>
        <w:adjustRightInd/>
        <w:spacing w:line="276" w:lineRule="auto"/>
        <w:contextualSpacing/>
        <w:rPr>
          <w:rFonts w:asciiTheme="minorHAnsi" w:hAnsiTheme="minorHAnsi" w:cstheme="minorHAnsi"/>
          <w:color w:val="000000"/>
        </w:rPr>
      </w:pPr>
      <w:r w:rsidRPr="00B010EC">
        <w:rPr>
          <w:rFonts w:asciiTheme="minorHAnsi" w:hAnsiTheme="minorHAnsi" w:cstheme="minorHAnsi"/>
          <w:color w:val="000000"/>
        </w:rPr>
        <w:t>Focuses strategically</w:t>
      </w:r>
    </w:p>
    <w:p w:rsidR="00176718" w:rsidRPr="00B010EC" w:rsidRDefault="00176718" w:rsidP="00176718">
      <w:pPr>
        <w:pStyle w:val="ListParagraph"/>
        <w:widowControl/>
        <w:numPr>
          <w:ilvl w:val="2"/>
          <w:numId w:val="7"/>
        </w:numPr>
        <w:adjustRightInd/>
        <w:spacing w:line="276" w:lineRule="auto"/>
        <w:contextualSpacing/>
        <w:rPr>
          <w:rFonts w:asciiTheme="minorHAnsi" w:hAnsiTheme="minorHAnsi" w:cstheme="minorHAnsi"/>
          <w:color w:val="000000"/>
        </w:rPr>
      </w:pPr>
      <w:r w:rsidRPr="00B010EC">
        <w:rPr>
          <w:rFonts w:asciiTheme="minorHAnsi" w:hAnsiTheme="minorHAnsi" w:cstheme="minorHAnsi"/>
          <w:color w:val="000000"/>
        </w:rPr>
        <w:t>Harnesses information and opportunities</w:t>
      </w:r>
    </w:p>
    <w:p w:rsidR="00176718" w:rsidRPr="00B010EC" w:rsidRDefault="00176718" w:rsidP="00176718">
      <w:pPr>
        <w:pStyle w:val="ListParagraph"/>
        <w:widowControl/>
        <w:numPr>
          <w:ilvl w:val="2"/>
          <w:numId w:val="7"/>
        </w:numPr>
        <w:adjustRightInd/>
        <w:spacing w:line="276" w:lineRule="auto"/>
        <w:contextualSpacing/>
        <w:rPr>
          <w:rFonts w:asciiTheme="minorHAnsi" w:hAnsiTheme="minorHAnsi" w:cstheme="minorHAnsi"/>
          <w:color w:val="000000"/>
        </w:rPr>
      </w:pPr>
      <w:r w:rsidRPr="00B010EC">
        <w:rPr>
          <w:rFonts w:asciiTheme="minorHAnsi" w:hAnsiTheme="minorHAnsi" w:cstheme="minorHAnsi"/>
          <w:color w:val="000000"/>
        </w:rPr>
        <w:t>Shows judgement, intelligence and common sense</w:t>
      </w:r>
    </w:p>
    <w:p w:rsidR="00176718" w:rsidRPr="00B010EC" w:rsidRDefault="00176718" w:rsidP="00176718">
      <w:pPr>
        <w:pStyle w:val="ListParagraph"/>
        <w:widowControl/>
        <w:numPr>
          <w:ilvl w:val="1"/>
          <w:numId w:val="4"/>
        </w:numPr>
        <w:adjustRightInd/>
        <w:spacing w:before="60" w:line="276" w:lineRule="auto"/>
        <w:rPr>
          <w:rFonts w:asciiTheme="minorHAnsi" w:hAnsiTheme="minorHAnsi" w:cstheme="minorHAnsi"/>
          <w:color w:val="000000"/>
        </w:rPr>
      </w:pPr>
      <w:r w:rsidRPr="00B010EC">
        <w:rPr>
          <w:rFonts w:asciiTheme="minorHAnsi" w:hAnsiTheme="minorHAnsi" w:cstheme="minorHAnsi"/>
          <w:color w:val="000000"/>
        </w:rPr>
        <w:t>Achieves results</w:t>
      </w:r>
    </w:p>
    <w:p w:rsidR="00176718" w:rsidRPr="00B010EC" w:rsidRDefault="00176718" w:rsidP="00176718">
      <w:pPr>
        <w:pStyle w:val="ListParagraph"/>
        <w:widowControl/>
        <w:numPr>
          <w:ilvl w:val="2"/>
          <w:numId w:val="8"/>
        </w:numPr>
        <w:adjustRightInd/>
        <w:spacing w:line="276" w:lineRule="auto"/>
        <w:contextualSpacing/>
        <w:rPr>
          <w:rFonts w:asciiTheme="minorHAnsi" w:hAnsiTheme="minorHAnsi" w:cstheme="minorHAnsi"/>
          <w:color w:val="000000"/>
        </w:rPr>
      </w:pPr>
      <w:r w:rsidRPr="00B010EC">
        <w:rPr>
          <w:rFonts w:asciiTheme="minorHAnsi" w:hAnsiTheme="minorHAnsi" w:cstheme="minorHAnsi"/>
          <w:color w:val="000000"/>
        </w:rPr>
        <w:t>Builds organisational capability and responsiveness</w:t>
      </w:r>
    </w:p>
    <w:p w:rsidR="00176718" w:rsidRPr="00B010EC" w:rsidRDefault="00176718" w:rsidP="00176718">
      <w:pPr>
        <w:pStyle w:val="ListParagraph"/>
        <w:widowControl/>
        <w:numPr>
          <w:ilvl w:val="2"/>
          <w:numId w:val="8"/>
        </w:numPr>
        <w:adjustRightInd/>
        <w:spacing w:line="276" w:lineRule="auto"/>
        <w:contextualSpacing/>
        <w:rPr>
          <w:rFonts w:asciiTheme="minorHAnsi" w:hAnsiTheme="minorHAnsi" w:cstheme="minorHAnsi"/>
          <w:color w:val="000000"/>
        </w:rPr>
      </w:pPr>
      <w:r w:rsidRPr="00B010EC">
        <w:rPr>
          <w:rFonts w:asciiTheme="minorHAnsi" w:hAnsiTheme="minorHAnsi" w:cstheme="minorHAnsi"/>
          <w:color w:val="000000"/>
        </w:rPr>
        <w:t>Marshals professional expertise</w:t>
      </w:r>
    </w:p>
    <w:p w:rsidR="00176718" w:rsidRPr="00B010EC" w:rsidRDefault="00176718" w:rsidP="00176718">
      <w:pPr>
        <w:pStyle w:val="ListParagraph"/>
        <w:widowControl/>
        <w:numPr>
          <w:ilvl w:val="2"/>
          <w:numId w:val="8"/>
        </w:numPr>
        <w:adjustRightInd/>
        <w:spacing w:line="276" w:lineRule="auto"/>
        <w:contextualSpacing/>
        <w:rPr>
          <w:rFonts w:asciiTheme="minorHAnsi" w:hAnsiTheme="minorHAnsi" w:cstheme="minorHAnsi"/>
          <w:color w:val="000000"/>
        </w:rPr>
      </w:pPr>
      <w:r w:rsidRPr="00B010EC">
        <w:rPr>
          <w:rFonts w:asciiTheme="minorHAnsi" w:hAnsiTheme="minorHAnsi" w:cstheme="minorHAnsi"/>
          <w:color w:val="000000"/>
        </w:rPr>
        <w:t>Steers and implements change and deals with uncertainty</w:t>
      </w:r>
    </w:p>
    <w:p w:rsidR="00176718" w:rsidRPr="00B010EC" w:rsidRDefault="00176718" w:rsidP="00176718">
      <w:pPr>
        <w:pStyle w:val="ListParagraph"/>
        <w:widowControl/>
        <w:numPr>
          <w:ilvl w:val="2"/>
          <w:numId w:val="8"/>
        </w:numPr>
        <w:adjustRightInd/>
        <w:spacing w:line="276" w:lineRule="auto"/>
        <w:contextualSpacing/>
        <w:rPr>
          <w:rFonts w:asciiTheme="minorHAnsi" w:hAnsiTheme="minorHAnsi" w:cstheme="minorHAnsi"/>
          <w:color w:val="000000"/>
        </w:rPr>
      </w:pPr>
      <w:r w:rsidRPr="00B010EC">
        <w:rPr>
          <w:rFonts w:asciiTheme="minorHAnsi" w:hAnsiTheme="minorHAnsi" w:cstheme="minorHAnsi"/>
          <w:color w:val="000000"/>
        </w:rPr>
        <w:t>Ensures closure and delivers on intended results</w:t>
      </w:r>
    </w:p>
    <w:p w:rsidR="00176718" w:rsidRPr="00B010EC" w:rsidRDefault="00176718" w:rsidP="00176718">
      <w:pPr>
        <w:pStyle w:val="ListParagraph"/>
        <w:widowControl/>
        <w:numPr>
          <w:ilvl w:val="1"/>
          <w:numId w:val="4"/>
        </w:numPr>
        <w:adjustRightInd/>
        <w:spacing w:before="60" w:line="276" w:lineRule="auto"/>
        <w:rPr>
          <w:rFonts w:asciiTheme="minorHAnsi" w:hAnsiTheme="minorHAnsi" w:cstheme="minorHAnsi"/>
          <w:color w:val="000000"/>
        </w:rPr>
      </w:pPr>
      <w:r w:rsidRPr="00B010EC">
        <w:rPr>
          <w:rFonts w:asciiTheme="minorHAnsi" w:hAnsiTheme="minorHAnsi" w:cstheme="minorHAnsi"/>
          <w:color w:val="000000"/>
        </w:rPr>
        <w:t>Cultivates productive working relationships</w:t>
      </w:r>
    </w:p>
    <w:p w:rsidR="00176718" w:rsidRPr="00B010EC" w:rsidRDefault="00176718" w:rsidP="00176718">
      <w:pPr>
        <w:pStyle w:val="ListParagraph"/>
        <w:widowControl/>
        <w:numPr>
          <w:ilvl w:val="2"/>
          <w:numId w:val="9"/>
        </w:numPr>
        <w:adjustRightInd/>
        <w:spacing w:line="276" w:lineRule="auto"/>
        <w:contextualSpacing/>
        <w:rPr>
          <w:rFonts w:asciiTheme="minorHAnsi" w:hAnsiTheme="minorHAnsi" w:cstheme="minorHAnsi"/>
          <w:color w:val="000000"/>
        </w:rPr>
      </w:pPr>
      <w:r w:rsidRPr="00B010EC">
        <w:rPr>
          <w:rFonts w:asciiTheme="minorHAnsi" w:hAnsiTheme="minorHAnsi" w:cstheme="minorHAnsi"/>
          <w:color w:val="000000"/>
        </w:rPr>
        <w:t>Nurtures internal and external relationships</w:t>
      </w:r>
    </w:p>
    <w:p w:rsidR="00176718" w:rsidRPr="00B010EC" w:rsidRDefault="00176718" w:rsidP="00176718">
      <w:pPr>
        <w:pStyle w:val="ListParagraph"/>
        <w:widowControl/>
        <w:numPr>
          <w:ilvl w:val="2"/>
          <w:numId w:val="9"/>
        </w:numPr>
        <w:adjustRightInd/>
        <w:spacing w:line="276" w:lineRule="auto"/>
        <w:contextualSpacing/>
        <w:rPr>
          <w:rFonts w:asciiTheme="minorHAnsi" w:hAnsiTheme="minorHAnsi" w:cstheme="minorHAnsi"/>
          <w:color w:val="000000"/>
        </w:rPr>
      </w:pPr>
      <w:r w:rsidRPr="00B010EC">
        <w:rPr>
          <w:rFonts w:asciiTheme="minorHAnsi" w:hAnsiTheme="minorHAnsi" w:cstheme="minorHAnsi"/>
          <w:color w:val="000000"/>
        </w:rPr>
        <w:t>Facilitates cooperation and partnerships</w:t>
      </w:r>
    </w:p>
    <w:p w:rsidR="00176718" w:rsidRPr="00B010EC" w:rsidRDefault="00176718" w:rsidP="00176718">
      <w:pPr>
        <w:pStyle w:val="ListParagraph"/>
        <w:widowControl/>
        <w:numPr>
          <w:ilvl w:val="2"/>
          <w:numId w:val="9"/>
        </w:numPr>
        <w:adjustRightInd/>
        <w:spacing w:line="276" w:lineRule="auto"/>
        <w:contextualSpacing/>
        <w:rPr>
          <w:rFonts w:asciiTheme="minorHAnsi" w:hAnsiTheme="minorHAnsi" w:cstheme="minorHAnsi"/>
          <w:color w:val="000000"/>
        </w:rPr>
      </w:pPr>
      <w:r w:rsidRPr="00B010EC">
        <w:rPr>
          <w:rFonts w:asciiTheme="minorHAnsi" w:hAnsiTheme="minorHAnsi" w:cstheme="minorHAnsi"/>
          <w:color w:val="000000"/>
        </w:rPr>
        <w:t>Values individual differences and diversity</w:t>
      </w:r>
    </w:p>
    <w:p w:rsidR="00176718" w:rsidRPr="00B010EC" w:rsidRDefault="00176718" w:rsidP="00176718">
      <w:pPr>
        <w:pStyle w:val="ListParagraph"/>
        <w:widowControl/>
        <w:numPr>
          <w:ilvl w:val="2"/>
          <w:numId w:val="9"/>
        </w:numPr>
        <w:adjustRightInd/>
        <w:spacing w:line="276" w:lineRule="auto"/>
        <w:contextualSpacing/>
        <w:rPr>
          <w:rFonts w:asciiTheme="minorHAnsi" w:hAnsiTheme="minorHAnsi" w:cstheme="minorHAnsi"/>
          <w:color w:val="000000"/>
        </w:rPr>
      </w:pPr>
      <w:r w:rsidRPr="00B010EC">
        <w:rPr>
          <w:rFonts w:asciiTheme="minorHAnsi" w:hAnsiTheme="minorHAnsi" w:cstheme="minorHAnsi"/>
          <w:color w:val="000000"/>
        </w:rPr>
        <w:t>Guides, mentors and develops people</w:t>
      </w:r>
    </w:p>
    <w:p w:rsidR="00176718" w:rsidRPr="00B010EC" w:rsidRDefault="00176718" w:rsidP="00176718">
      <w:pPr>
        <w:pStyle w:val="ListParagraph"/>
        <w:widowControl/>
        <w:numPr>
          <w:ilvl w:val="1"/>
          <w:numId w:val="4"/>
        </w:numPr>
        <w:adjustRightInd/>
        <w:spacing w:before="60" w:line="276" w:lineRule="auto"/>
        <w:rPr>
          <w:rFonts w:asciiTheme="minorHAnsi" w:hAnsiTheme="minorHAnsi" w:cstheme="minorHAnsi"/>
          <w:color w:val="000000"/>
        </w:rPr>
      </w:pPr>
      <w:r w:rsidRPr="00B010EC">
        <w:rPr>
          <w:rFonts w:asciiTheme="minorHAnsi" w:hAnsiTheme="minorHAnsi" w:cstheme="minorHAnsi"/>
          <w:color w:val="000000"/>
        </w:rPr>
        <w:t>Exemplifies personal drive and integrity</w:t>
      </w:r>
    </w:p>
    <w:p w:rsidR="00176718" w:rsidRPr="00B010EC" w:rsidRDefault="00176718" w:rsidP="00176718">
      <w:pPr>
        <w:pStyle w:val="ListParagraph"/>
        <w:widowControl/>
        <w:numPr>
          <w:ilvl w:val="2"/>
          <w:numId w:val="10"/>
        </w:numPr>
        <w:adjustRightInd/>
        <w:spacing w:line="276" w:lineRule="auto"/>
        <w:contextualSpacing/>
        <w:rPr>
          <w:rFonts w:asciiTheme="minorHAnsi" w:hAnsiTheme="minorHAnsi" w:cstheme="minorHAnsi"/>
          <w:color w:val="000000"/>
        </w:rPr>
      </w:pPr>
      <w:r w:rsidRPr="00B010EC">
        <w:rPr>
          <w:rFonts w:asciiTheme="minorHAnsi" w:hAnsiTheme="minorHAnsi" w:cstheme="minorHAnsi"/>
          <w:color w:val="000000"/>
        </w:rPr>
        <w:t>Demonstrates professionalism and probity</w:t>
      </w:r>
    </w:p>
    <w:p w:rsidR="00176718" w:rsidRPr="00B010EC" w:rsidRDefault="00176718" w:rsidP="00176718">
      <w:pPr>
        <w:pStyle w:val="ListParagraph"/>
        <w:widowControl/>
        <w:numPr>
          <w:ilvl w:val="2"/>
          <w:numId w:val="10"/>
        </w:numPr>
        <w:adjustRightInd/>
        <w:spacing w:line="276" w:lineRule="auto"/>
        <w:contextualSpacing/>
        <w:rPr>
          <w:rFonts w:asciiTheme="minorHAnsi" w:hAnsiTheme="minorHAnsi" w:cstheme="minorHAnsi"/>
          <w:color w:val="000000"/>
        </w:rPr>
      </w:pPr>
      <w:r w:rsidRPr="00B010EC">
        <w:rPr>
          <w:rFonts w:asciiTheme="minorHAnsi" w:hAnsiTheme="minorHAnsi" w:cstheme="minorHAnsi"/>
          <w:color w:val="000000"/>
        </w:rPr>
        <w:t>Engages with risk and shows personal courage</w:t>
      </w:r>
    </w:p>
    <w:p w:rsidR="00176718" w:rsidRPr="00B010EC" w:rsidRDefault="00176718" w:rsidP="00176718">
      <w:pPr>
        <w:pStyle w:val="ListParagraph"/>
        <w:widowControl/>
        <w:numPr>
          <w:ilvl w:val="2"/>
          <w:numId w:val="10"/>
        </w:numPr>
        <w:adjustRightInd/>
        <w:spacing w:line="276" w:lineRule="auto"/>
        <w:contextualSpacing/>
        <w:rPr>
          <w:rFonts w:asciiTheme="minorHAnsi" w:hAnsiTheme="minorHAnsi" w:cstheme="minorHAnsi"/>
          <w:color w:val="000000"/>
        </w:rPr>
      </w:pPr>
      <w:r w:rsidRPr="00B010EC">
        <w:rPr>
          <w:rFonts w:asciiTheme="minorHAnsi" w:hAnsiTheme="minorHAnsi" w:cstheme="minorHAnsi"/>
          <w:color w:val="000000"/>
        </w:rPr>
        <w:t>Commits to action</w:t>
      </w:r>
    </w:p>
    <w:p w:rsidR="00176718" w:rsidRPr="00B010EC" w:rsidRDefault="00176718" w:rsidP="00176718">
      <w:pPr>
        <w:pStyle w:val="ListParagraph"/>
        <w:widowControl/>
        <w:numPr>
          <w:ilvl w:val="2"/>
          <w:numId w:val="10"/>
        </w:numPr>
        <w:adjustRightInd/>
        <w:spacing w:line="276" w:lineRule="auto"/>
        <w:contextualSpacing/>
        <w:rPr>
          <w:rFonts w:asciiTheme="minorHAnsi" w:hAnsiTheme="minorHAnsi" w:cstheme="minorHAnsi"/>
          <w:color w:val="000000"/>
        </w:rPr>
      </w:pPr>
      <w:r w:rsidRPr="00B010EC">
        <w:rPr>
          <w:rFonts w:asciiTheme="minorHAnsi" w:hAnsiTheme="minorHAnsi" w:cstheme="minorHAnsi"/>
          <w:color w:val="000000"/>
        </w:rPr>
        <w:t>Displays resilience</w:t>
      </w:r>
    </w:p>
    <w:p w:rsidR="00176718" w:rsidRPr="00B010EC" w:rsidRDefault="00176718" w:rsidP="00176718">
      <w:pPr>
        <w:pStyle w:val="ListParagraph"/>
        <w:widowControl/>
        <w:numPr>
          <w:ilvl w:val="2"/>
          <w:numId w:val="10"/>
        </w:numPr>
        <w:adjustRightInd/>
        <w:spacing w:line="276" w:lineRule="auto"/>
        <w:contextualSpacing/>
        <w:rPr>
          <w:rFonts w:asciiTheme="minorHAnsi" w:hAnsiTheme="minorHAnsi" w:cstheme="minorHAnsi"/>
          <w:color w:val="000000"/>
        </w:rPr>
      </w:pPr>
      <w:r w:rsidRPr="00B010EC">
        <w:rPr>
          <w:rFonts w:asciiTheme="minorHAnsi" w:hAnsiTheme="minorHAnsi" w:cstheme="minorHAnsi"/>
          <w:color w:val="000000"/>
        </w:rPr>
        <w:t>Demonstrates self-awareness and a commitment to personal development</w:t>
      </w:r>
    </w:p>
    <w:p w:rsidR="00176718" w:rsidRPr="00B010EC" w:rsidRDefault="00176718" w:rsidP="00176718">
      <w:pPr>
        <w:pStyle w:val="ListParagraph"/>
        <w:widowControl/>
        <w:numPr>
          <w:ilvl w:val="1"/>
          <w:numId w:val="4"/>
        </w:numPr>
        <w:adjustRightInd/>
        <w:spacing w:before="60" w:line="276" w:lineRule="auto"/>
        <w:rPr>
          <w:rFonts w:asciiTheme="minorHAnsi" w:hAnsiTheme="minorHAnsi" w:cstheme="minorHAnsi"/>
          <w:color w:val="000000"/>
        </w:rPr>
      </w:pPr>
      <w:r w:rsidRPr="00B010EC">
        <w:rPr>
          <w:rFonts w:asciiTheme="minorHAnsi" w:hAnsiTheme="minorHAnsi" w:cstheme="minorHAnsi"/>
          <w:color w:val="000000"/>
        </w:rPr>
        <w:t>Communicates with influence</w:t>
      </w:r>
    </w:p>
    <w:p w:rsidR="00176718" w:rsidRPr="00B010EC" w:rsidRDefault="00176718" w:rsidP="00176718">
      <w:pPr>
        <w:pStyle w:val="ListParagraph"/>
        <w:widowControl/>
        <w:numPr>
          <w:ilvl w:val="2"/>
          <w:numId w:val="11"/>
        </w:numPr>
        <w:adjustRightInd/>
        <w:spacing w:after="120" w:line="276" w:lineRule="auto"/>
        <w:contextualSpacing/>
        <w:rPr>
          <w:rFonts w:asciiTheme="minorHAnsi" w:hAnsiTheme="minorHAnsi" w:cstheme="minorHAnsi"/>
          <w:color w:val="000000"/>
        </w:rPr>
      </w:pPr>
      <w:r w:rsidRPr="00B010EC">
        <w:rPr>
          <w:rFonts w:asciiTheme="minorHAnsi" w:hAnsiTheme="minorHAnsi" w:cstheme="minorHAnsi"/>
          <w:color w:val="000000"/>
        </w:rPr>
        <w:t>Communicates clearly</w:t>
      </w:r>
    </w:p>
    <w:p w:rsidR="00176718" w:rsidRPr="00B010EC" w:rsidRDefault="00176718" w:rsidP="00176718">
      <w:pPr>
        <w:pStyle w:val="ListParagraph"/>
        <w:widowControl/>
        <w:numPr>
          <w:ilvl w:val="2"/>
          <w:numId w:val="11"/>
        </w:numPr>
        <w:adjustRightInd/>
        <w:spacing w:after="120" w:line="276" w:lineRule="auto"/>
        <w:contextualSpacing/>
        <w:rPr>
          <w:rFonts w:asciiTheme="minorHAnsi" w:hAnsiTheme="minorHAnsi" w:cstheme="minorHAnsi"/>
          <w:color w:val="000000"/>
        </w:rPr>
      </w:pPr>
      <w:r w:rsidRPr="00B010EC">
        <w:rPr>
          <w:rFonts w:asciiTheme="minorHAnsi" w:hAnsiTheme="minorHAnsi" w:cstheme="minorHAnsi"/>
          <w:color w:val="000000"/>
        </w:rPr>
        <w:t>Listens, understands and adapts to audience</w:t>
      </w:r>
    </w:p>
    <w:p w:rsidR="00176718" w:rsidRPr="00B010EC" w:rsidRDefault="00176718" w:rsidP="00176718">
      <w:pPr>
        <w:pStyle w:val="ListParagraph"/>
        <w:widowControl/>
        <w:numPr>
          <w:ilvl w:val="2"/>
          <w:numId w:val="11"/>
        </w:numPr>
        <w:adjustRightInd/>
        <w:spacing w:after="120" w:line="276" w:lineRule="auto"/>
        <w:contextualSpacing/>
        <w:rPr>
          <w:rFonts w:asciiTheme="minorHAnsi" w:hAnsiTheme="minorHAnsi" w:cstheme="minorHAnsi"/>
          <w:i/>
          <w:color w:val="000000"/>
        </w:rPr>
      </w:pPr>
      <w:r w:rsidRPr="00B010EC">
        <w:rPr>
          <w:rFonts w:asciiTheme="minorHAnsi" w:hAnsiTheme="minorHAnsi" w:cstheme="minorHAnsi"/>
          <w:color w:val="000000"/>
        </w:rPr>
        <w:t>Negotiates persuasively</w:t>
      </w:r>
    </w:p>
    <w:p w:rsidR="00176718" w:rsidRPr="00CE4DF5" w:rsidRDefault="00176718" w:rsidP="00176718">
      <w:pPr>
        <w:pStyle w:val="Heading2"/>
      </w:pPr>
      <w:r w:rsidRPr="00CE4DF5">
        <w:t>Terms and conditions</w:t>
      </w:r>
    </w:p>
    <w:p w:rsidR="00176718" w:rsidRDefault="00176718" w:rsidP="00176718">
      <w:pPr>
        <w:rPr>
          <w:rFonts w:asciiTheme="minorHAnsi" w:hAnsiTheme="minorHAnsi" w:cstheme="minorHAnsi"/>
          <w:sz w:val="24"/>
          <w:szCs w:val="24"/>
        </w:rPr>
      </w:pPr>
      <w:r w:rsidRPr="00773D98">
        <w:rPr>
          <w:rFonts w:asciiTheme="minorHAnsi" w:hAnsiTheme="minorHAnsi" w:cstheme="minorHAnsi"/>
          <w:sz w:val="24"/>
          <w:szCs w:val="24"/>
        </w:rPr>
        <w:t xml:space="preserve">Under the AIC Act, the FOI Commissioner is appointed by the Governor-General. The term of appointment is up to 5 years, with the option for reappointment. </w:t>
      </w:r>
    </w:p>
    <w:p w:rsidR="00176718" w:rsidRDefault="00176718" w:rsidP="00176718">
      <w:pPr>
        <w:rPr>
          <w:rFonts w:asciiTheme="minorHAnsi" w:hAnsiTheme="minorHAnsi" w:cstheme="minorHAnsi"/>
          <w:sz w:val="24"/>
          <w:szCs w:val="24"/>
        </w:rPr>
      </w:pPr>
      <w:r w:rsidRPr="00773D98">
        <w:rPr>
          <w:rFonts w:asciiTheme="minorHAnsi" w:hAnsiTheme="minorHAnsi" w:cstheme="minorHAnsi"/>
          <w:sz w:val="24"/>
          <w:szCs w:val="24"/>
        </w:rPr>
        <w:t>This is a full</w:t>
      </w:r>
      <w:r w:rsidRPr="00773D98">
        <w:rPr>
          <w:rFonts w:asciiTheme="minorHAnsi" w:hAnsiTheme="minorHAnsi" w:cstheme="minorHAnsi"/>
          <w:sz w:val="24"/>
          <w:szCs w:val="24"/>
        </w:rPr>
        <w:noBreakHyphen/>
        <w:t>time position</w:t>
      </w:r>
      <w:r>
        <w:rPr>
          <w:rFonts w:asciiTheme="minorHAnsi" w:hAnsiTheme="minorHAnsi" w:cstheme="minorHAnsi"/>
          <w:sz w:val="24"/>
          <w:szCs w:val="24"/>
        </w:rPr>
        <w:t>. The role is</w:t>
      </w:r>
      <w:r w:rsidRPr="00773D98">
        <w:rPr>
          <w:rFonts w:asciiTheme="minorHAnsi" w:hAnsiTheme="minorHAnsi" w:cstheme="minorHAnsi"/>
          <w:sz w:val="24"/>
          <w:szCs w:val="24"/>
        </w:rPr>
        <w:t>, is principally based in Sydney, however other base locations may be considered.</w:t>
      </w:r>
    </w:p>
    <w:p w:rsidR="00176718" w:rsidRPr="00B75523" w:rsidRDefault="00176718" w:rsidP="00176718">
      <w:pPr>
        <w:pStyle w:val="Heading2"/>
        <w:rPr>
          <w:rFonts w:asciiTheme="minorHAnsi" w:hAnsiTheme="minorHAnsi" w:cstheme="minorHAnsi"/>
          <w:b w:val="0"/>
          <w:i/>
          <w:color w:val="000000"/>
          <w:sz w:val="24"/>
          <w:szCs w:val="24"/>
        </w:rPr>
      </w:pPr>
      <w:r>
        <w:rPr>
          <w:rFonts w:asciiTheme="minorHAnsi" w:eastAsia="Calibri" w:hAnsiTheme="minorHAnsi" w:cstheme="minorHAnsi"/>
          <w:b w:val="0"/>
          <w:bCs w:val="0"/>
          <w:iCs w:val="0"/>
          <w:color w:val="auto"/>
          <w:sz w:val="24"/>
          <w:szCs w:val="24"/>
        </w:rPr>
        <w:lastRenderedPageBreak/>
        <w:t>The Re</w:t>
      </w:r>
      <w:r w:rsidRPr="00773D98">
        <w:rPr>
          <w:rFonts w:asciiTheme="minorHAnsi" w:eastAsia="Calibri" w:hAnsiTheme="minorHAnsi" w:cstheme="minorHAnsi"/>
          <w:b w:val="0"/>
          <w:bCs w:val="0"/>
          <w:iCs w:val="0"/>
          <w:color w:val="auto"/>
          <w:sz w:val="24"/>
          <w:szCs w:val="24"/>
        </w:rPr>
        <w:t xml:space="preserve">muneration Tribunal </w:t>
      </w:r>
      <w:r>
        <w:rPr>
          <w:rFonts w:asciiTheme="minorHAnsi" w:eastAsia="Calibri" w:hAnsiTheme="minorHAnsi" w:cstheme="minorHAnsi"/>
          <w:b w:val="0"/>
          <w:bCs w:val="0"/>
          <w:iCs w:val="0"/>
          <w:color w:val="auto"/>
          <w:sz w:val="24"/>
          <w:szCs w:val="24"/>
        </w:rPr>
        <w:t xml:space="preserve">sets remuneration and allowances for the position. Refer to the  </w:t>
      </w:r>
      <w:hyperlink r:id="rId7" w:history="1">
        <w:r w:rsidRPr="00B75523">
          <w:rPr>
            <w:rStyle w:val="Hyperlink"/>
            <w:rFonts w:asciiTheme="minorHAnsi" w:hAnsiTheme="minorHAnsi" w:cstheme="minorHAnsi"/>
            <w:b w:val="0"/>
            <w:sz w:val="24"/>
            <w:szCs w:val="24"/>
          </w:rPr>
          <w:t>Remuneration Tribunal (Remuneration and Allowances for Holders of Full</w:t>
        </w:r>
        <w:r w:rsidRPr="00B75523">
          <w:rPr>
            <w:rStyle w:val="Hyperlink"/>
            <w:rFonts w:asciiTheme="minorHAnsi" w:hAnsiTheme="minorHAnsi" w:cstheme="minorHAnsi"/>
            <w:b w:val="0"/>
            <w:sz w:val="24"/>
            <w:szCs w:val="24"/>
          </w:rPr>
          <w:noBreakHyphen/>
          <w:t xml:space="preserve">time Public Office) Determination </w:t>
        </w:r>
        <w:r w:rsidRPr="00B75523">
          <w:rPr>
            <w:rStyle w:val="Hyperlink"/>
            <w:rFonts w:asciiTheme="minorHAnsi" w:hAnsiTheme="minorHAnsi" w:cstheme="minorHAnsi"/>
            <w:b w:val="0"/>
            <w:sz w:val="24"/>
            <w:szCs w:val="24"/>
          </w:rPr>
          <w:t>2</w:t>
        </w:r>
        <w:r w:rsidRPr="00B75523">
          <w:rPr>
            <w:rStyle w:val="Hyperlink"/>
            <w:rFonts w:asciiTheme="minorHAnsi" w:hAnsiTheme="minorHAnsi" w:cstheme="minorHAnsi"/>
            <w:b w:val="0"/>
            <w:sz w:val="24"/>
            <w:szCs w:val="24"/>
          </w:rPr>
          <w:t>024</w:t>
        </w:r>
      </w:hyperlink>
      <w:r>
        <w:rPr>
          <w:rFonts w:asciiTheme="minorHAnsi" w:hAnsiTheme="minorHAnsi" w:cstheme="minorHAnsi"/>
          <w:b w:val="0"/>
          <w:i/>
          <w:color w:val="000000"/>
          <w:sz w:val="24"/>
          <w:szCs w:val="24"/>
        </w:rPr>
        <w:t xml:space="preserve"> </w:t>
      </w:r>
      <w:r>
        <w:rPr>
          <w:rFonts w:asciiTheme="minorHAnsi" w:hAnsiTheme="minorHAnsi" w:cstheme="minorHAnsi"/>
          <w:b w:val="0"/>
          <w:color w:val="000000"/>
          <w:sz w:val="24"/>
          <w:szCs w:val="24"/>
        </w:rPr>
        <w:t>f</w:t>
      </w:r>
      <w:r w:rsidRPr="00B75523">
        <w:rPr>
          <w:rFonts w:asciiTheme="minorHAnsi" w:hAnsiTheme="minorHAnsi" w:cstheme="minorHAnsi"/>
          <w:b w:val="0"/>
          <w:color w:val="000000"/>
          <w:sz w:val="24"/>
          <w:szCs w:val="24"/>
        </w:rPr>
        <w:t>or more information.</w:t>
      </w:r>
    </w:p>
    <w:p w:rsidR="00176718" w:rsidRPr="00CE4DF5" w:rsidRDefault="00176718" w:rsidP="00176718">
      <w:pPr>
        <w:pStyle w:val="Heading2"/>
      </w:pPr>
      <w:r w:rsidRPr="00CE4DF5">
        <w:t>How to apply</w:t>
      </w:r>
    </w:p>
    <w:p w:rsidR="00176718" w:rsidRDefault="00176718" w:rsidP="00176718">
      <w:pPr>
        <w:spacing w:before="120"/>
        <w:rPr>
          <w:rFonts w:asciiTheme="minorHAnsi" w:hAnsiTheme="minorHAnsi" w:cstheme="minorHAnsi"/>
          <w:sz w:val="24"/>
          <w:szCs w:val="24"/>
        </w:rPr>
      </w:pPr>
      <w:r>
        <w:rPr>
          <w:rFonts w:asciiTheme="minorHAnsi" w:hAnsiTheme="minorHAnsi" w:cstheme="minorHAnsi"/>
          <w:sz w:val="24"/>
          <w:szCs w:val="24"/>
        </w:rPr>
        <w:t xml:space="preserve">Apply </w:t>
      </w:r>
      <w:r w:rsidRPr="00773D98">
        <w:rPr>
          <w:rFonts w:asciiTheme="minorHAnsi" w:hAnsiTheme="minorHAnsi" w:cstheme="minorHAnsi"/>
          <w:sz w:val="24"/>
          <w:szCs w:val="24"/>
        </w:rPr>
        <w:t xml:space="preserve">using </w:t>
      </w:r>
      <w:r w:rsidRPr="00176718">
        <w:rPr>
          <w:rFonts w:asciiTheme="minorHAnsi" w:hAnsiTheme="minorHAnsi" w:cstheme="minorHAnsi"/>
          <w:sz w:val="24"/>
          <w:szCs w:val="24"/>
        </w:rPr>
        <w:t xml:space="preserve">the </w:t>
      </w:r>
      <w:hyperlink r:id="rId8" w:history="1">
        <w:r w:rsidRPr="00176718">
          <w:rPr>
            <w:rStyle w:val="Hyperlink"/>
            <w:rFonts w:asciiTheme="minorHAnsi" w:hAnsiTheme="minorHAnsi" w:cstheme="minorHAnsi"/>
            <w:sz w:val="24"/>
            <w:szCs w:val="24"/>
          </w:rPr>
          <w:t>online application form</w:t>
        </w:r>
      </w:hyperlink>
      <w:r w:rsidRPr="00176718">
        <w:rPr>
          <w:rFonts w:asciiTheme="minorHAnsi" w:hAnsiTheme="minorHAnsi" w:cstheme="minorHAnsi"/>
          <w:sz w:val="24"/>
          <w:szCs w:val="24"/>
        </w:rPr>
        <w:t>.</w:t>
      </w:r>
      <w:r>
        <w:rPr>
          <w:rFonts w:asciiTheme="minorHAnsi" w:hAnsiTheme="minorHAnsi" w:cstheme="minorHAnsi"/>
          <w:sz w:val="24"/>
          <w:szCs w:val="24"/>
        </w:rPr>
        <w:t xml:space="preserve"> </w:t>
      </w:r>
    </w:p>
    <w:p w:rsidR="00176718" w:rsidRDefault="00176718" w:rsidP="00176718">
      <w:pPr>
        <w:spacing w:before="120"/>
        <w:rPr>
          <w:rFonts w:asciiTheme="minorHAnsi" w:hAnsiTheme="minorHAnsi" w:cstheme="minorHAnsi"/>
          <w:sz w:val="24"/>
          <w:szCs w:val="24"/>
        </w:rPr>
      </w:pPr>
      <w:r>
        <w:rPr>
          <w:rFonts w:asciiTheme="minorHAnsi" w:hAnsiTheme="minorHAnsi" w:cstheme="minorHAnsi"/>
          <w:sz w:val="24"/>
          <w:szCs w:val="24"/>
        </w:rPr>
        <w:t>Applications must include:</w:t>
      </w:r>
    </w:p>
    <w:p w:rsidR="00176718" w:rsidRPr="00AA45D0" w:rsidRDefault="00176718" w:rsidP="00176718">
      <w:pPr>
        <w:pStyle w:val="ListParagraph"/>
        <w:widowControl/>
        <w:numPr>
          <w:ilvl w:val="0"/>
          <w:numId w:val="12"/>
        </w:numPr>
        <w:autoSpaceDE/>
        <w:autoSpaceDN/>
        <w:adjustRightInd/>
        <w:spacing w:before="120" w:after="200" w:line="276" w:lineRule="auto"/>
        <w:ind w:left="714" w:hanging="357"/>
        <w:contextualSpacing/>
        <w:rPr>
          <w:rFonts w:asciiTheme="minorHAnsi" w:hAnsiTheme="minorHAnsi" w:cstheme="minorHAnsi"/>
        </w:rPr>
      </w:pPr>
      <w:r w:rsidRPr="00AA45D0">
        <w:rPr>
          <w:rFonts w:asciiTheme="minorHAnsi" w:hAnsiTheme="minorHAnsi" w:cstheme="minorHAnsi"/>
        </w:rPr>
        <w:t>an indication of whether you meet the eligibility criteria for this statutory appointment</w:t>
      </w:r>
    </w:p>
    <w:p w:rsidR="00176718" w:rsidRPr="00AA45D0" w:rsidRDefault="00176718" w:rsidP="00176718">
      <w:pPr>
        <w:pStyle w:val="ListParagraph"/>
        <w:widowControl/>
        <w:numPr>
          <w:ilvl w:val="0"/>
          <w:numId w:val="12"/>
        </w:numPr>
        <w:autoSpaceDE/>
        <w:autoSpaceDN/>
        <w:adjustRightInd/>
        <w:spacing w:before="120" w:after="200" w:line="276" w:lineRule="auto"/>
        <w:ind w:left="714" w:hanging="357"/>
        <w:contextualSpacing/>
        <w:rPr>
          <w:rFonts w:asciiTheme="minorHAnsi" w:hAnsiTheme="minorHAnsi" w:cstheme="minorHAnsi"/>
        </w:rPr>
      </w:pPr>
      <w:r w:rsidRPr="00AA45D0">
        <w:rPr>
          <w:rFonts w:asciiTheme="minorHAnsi" w:hAnsiTheme="minorHAnsi" w:cstheme="minorHAnsi"/>
        </w:rPr>
        <w:t xml:space="preserve">a completed statement of claims (2000-word limit) against the eligibility and selection criteria </w:t>
      </w:r>
    </w:p>
    <w:p w:rsidR="00176718" w:rsidRPr="00AA45D0" w:rsidRDefault="00176718" w:rsidP="00176718">
      <w:pPr>
        <w:pStyle w:val="ListParagraph"/>
        <w:widowControl/>
        <w:numPr>
          <w:ilvl w:val="0"/>
          <w:numId w:val="12"/>
        </w:numPr>
        <w:autoSpaceDE/>
        <w:autoSpaceDN/>
        <w:adjustRightInd/>
        <w:spacing w:before="120" w:after="200" w:line="276" w:lineRule="auto"/>
        <w:ind w:left="714" w:hanging="357"/>
        <w:contextualSpacing/>
        <w:rPr>
          <w:rFonts w:asciiTheme="minorHAnsi" w:hAnsiTheme="minorHAnsi" w:cstheme="minorHAnsi"/>
        </w:rPr>
      </w:pPr>
      <w:r w:rsidRPr="00AA45D0">
        <w:rPr>
          <w:rFonts w:asciiTheme="minorHAnsi" w:hAnsiTheme="minorHAnsi" w:cstheme="minorHAnsi"/>
        </w:rPr>
        <w:t>an uploaded resume no longer than 4 pages outlining qualifications, knowledge and experience</w:t>
      </w:r>
    </w:p>
    <w:p w:rsidR="00176718" w:rsidRDefault="00176718" w:rsidP="00176718">
      <w:pPr>
        <w:pStyle w:val="ListParagraph"/>
        <w:widowControl/>
        <w:numPr>
          <w:ilvl w:val="0"/>
          <w:numId w:val="12"/>
        </w:numPr>
        <w:autoSpaceDE/>
        <w:autoSpaceDN/>
        <w:adjustRightInd/>
        <w:spacing w:before="120" w:after="200" w:line="276" w:lineRule="auto"/>
        <w:ind w:left="714" w:hanging="357"/>
        <w:contextualSpacing/>
        <w:rPr>
          <w:rFonts w:asciiTheme="minorHAnsi" w:hAnsiTheme="minorHAnsi" w:cstheme="minorHAnsi"/>
        </w:rPr>
      </w:pPr>
      <w:r w:rsidRPr="00AA45D0">
        <w:rPr>
          <w:rFonts w:asciiTheme="minorHAnsi" w:hAnsiTheme="minorHAnsi" w:cstheme="minorHAnsi"/>
        </w:rPr>
        <w:t xml:space="preserve">the names and contact details of at least 2 referees who have direct and relevant experience of your work. </w:t>
      </w:r>
    </w:p>
    <w:p w:rsidR="00176718" w:rsidRPr="00B010EC" w:rsidRDefault="00176718" w:rsidP="00176718">
      <w:pPr>
        <w:spacing w:before="120"/>
        <w:contextualSpacing/>
        <w:rPr>
          <w:rFonts w:asciiTheme="minorHAnsi" w:hAnsiTheme="minorHAnsi" w:cstheme="minorHAnsi"/>
        </w:rPr>
      </w:pPr>
      <w:r w:rsidRPr="00B010EC">
        <w:rPr>
          <w:rFonts w:asciiTheme="minorHAnsi" w:hAnsiTheme="minorHAnsi" w:cstheme="minorHAnsi"/>
          <w:sz w:val="24"/>
          <w:szCs w:val="24"/>
        </w:rPr>
        <w:t>We will notify you before we contact referees.</w:t>
      </w:r>
    </w:p>
    <w:p w:rsidR="00176718" w:rsidRDefault="00176718" w:rsidP="00176718">
      <w:pPr>
        <w:spacing w:after="0"/>
        <w:rPr>
          <w:rFonts w:asciiTheme="minorHAnsi" w:hAnsiTheme="minorHAnsi" w:cstheme="minorHAnsi"/>
          <w:sz w:val="24"/>
          <w:szCs w:val="24"/>
        </w:rPr>
      </w:pPr>
      <w:bookmarkStart w:id="3" w:name="_Hlk133504506"/>
    </w:p>
    <w:p w:rsidR="00176718" w:rsidRDefault="00176718" w:rsidP="00176718">
      <w:pPr>
        <w:spacing w:after="0"/>
        <w:rPr>
          <w:rFonts w:asciiTheme="minorHAnsi" w:hAnsiTheme="minorHAnsi" w:cstheme="minorHAnsi"/>
          <w:sz w:val="24"/>
          <w:szCs w:val="24"/>
        </w:rPr>
      </w:pPr>
      <w:r>
        <w:rPr>
          <w:rFonts w:asciiTheme="minorHAnsi" w:hAnsiTheme="minorHAnsi" w:cstheme="minorHAnsi"/>
          <w:sz w:val="24"/>
          <w:szCs w:val="24"/>
        </w:rPr>
        <w:t>We encourage you to request the adjustments you need to help you participate in this recruitment process.</w:t>
      </w:r>
      <w:bookmarkEnd w:id="3"/>
    </w:p>
    <w:p w:rsidR="00176718" w:rsidRDefault="00176718" w:rsidP="00176718">
      <w:pPr>
        <w:spacing w:after="0"/>
        <w:rPr>
          <w:rFonts w:asciiTheme="minorHAnsi" w:hAnsiTheme="minorHAnsi" w:cstheme="minorHAnsi"/>
          <w:sz w:val="24"/>
          <w:szCs w:val="24"/>
        </w:rPr>
      </w:pPr>
    </w:p>
    <w:p w:rsidR="00176718" w:rsidRPr="00176718" w:rsidRDefault="00176718" w:rsidP="00176718">
      <w:pPr>
        <w:spacing w:after="0"/>
        <w:rPr>
          <w:rFonts w:asciiTheme="minorHAnsi" w:hAnsiTheme="minorHAnsi" w:cstheme="minorHAnsi"/>
          <w:b/>
          <w:sz w:val="24"/>
          <w:szCs w:val="24"/>
        </w:rPr>
      </w:pPr>
      <w:r w:rsidRPr="00176718">
        <w:rPr>
          <w:rFonts w:asciiTheme="minorHAnsi" w:hAnsiTheme="minorHAnsi" w:cstheme="minorHAnsi"/>
          <w:b/>
          <w:sz w:val="24"/>
          <w:szCs w:val="24"/>
        </w:rPr>
        <w:t>Applications close at 5:00 pm AEDT on Friday 21 March 2025.</w:t>
      </w:r>
    </w:p>
    <w:p w:rsidR="00176718" w:rsidRPr="00CE4DF5" w:rsidRDefault="00176718" w:rsidP="00176718">
      <w:pPr>
        <w:pStyle w:val="Heading2"/>
        <w:rPr>
          <w:color w:val="000000"/>
        </w:rPr>
      </w:pPr>
      <w:r w:rsidRPr="00CE4DF5">
        <w:t>Contact</w:t>
      </w:r>
    </w:p>
    <w:p w:rsidR="00176718" w:rsidRPr="00CE4DF5" w:rsidRDefault="00176718" w:rsidP="00176718">
      <w:pPr>
        <w:tabs>
          <w:tab w:val="left" w:pos="0"/>
        </w:tabs>
        <w:spacing w:before="120" w:after="120" w:line="240" w:lineRule="auto"/>
        <w:outlineLvl w:val="2"/>
        <w:rPr>
          <w:rFonts w:cstheme="minorHAnsi"/>
          <w:color w:val="000000"/>
          <w:sz w:val="24"/>
          <w:szCs w:val="24"/>
        </w:rPr>
      </w:pPr>
      <w:r>
        <w:rPr>
          <w:rFonts w:cstheme="minorHAnsi"/>
          <w:sz w:val="24"/>
          <w:szCs w:val="24"/>
        </w:rPr>
        <w:t>Email e</w:t>
      </w:r>
      <w:r w:rsidRPr="00CE4DF5">
        <w:rPr>
          <w:rFonts w:cstheme="minorHAnsi"/>
          <w:sz w:val="24"/>
          <w:szCs w:val="24"/>
        </w:rPr>
        <w:t>nquiries</w:t>
      </w:r>
      <w:r w:rsidRPr="00CE4DF5">
        <w:rPr>
          <w:rFonts w:cstheme="minorHAnsi"/>
          <w:color w:val="000000"/>
          <w:sz w:val="24"/>
          <w:szCs w:val="24"/>
        </w:rPr>
        <w:t xml:space="preserve"> about </w:t>
      </w:r>
      <w:r w:rsidRPr="00CE4DF5">
        <w:rPr>
          <w:rFonts w:cstheme="minorHAnsi"/>
          <w:sz w:val="24"/>
          <w:szCs w:val="24"/>
        </w:rPr>
        <w:t>the</w:t>
      </w:r>
      <w:r w:rsidRPr="00CE4DF5">
        <w:rPr>
          <w:rFonts w:cstheme="minorHAnsi"/>
          <w:color w:val="000000"/>
          <w:sz w:val="24"/>
          <w:szCs w:val="24"/>
        </w:rPr>
        <w:t xml:space="preserve"> position</w:t>
      </w:r>
      <w:r>
        <w:rPr>
          <w:rFonts w:cstheme="minorHAnsi"/>
          <w:color w:val="000000"/>
          <w:sz w:val="24"/>
          <w:szCs w:val="24"/>
        </w:rPr>
        <w:t xml:space="preserve"> </w:t>
      </w:r>
      <w:r w:rsidRPr="00CE4DF5">
        <w:rPr>
          <w:rFonts w:cstheme="minorHAnsi"/>
          <w:color w:val="000000"/>
          <w:sz w:val="24"/>
          <w:szCs w:val="24"/>
        </w:rPr>
        <w:t xml:space="preserve">or application </w:t>
      </w:r>
      <w:r>
        <w:rPr>
          <w:rFonts w:cstheme="minorHAnsi"/>
          <w:color w:val="000000"/>
          <w:sz w:val="24"/>
          <w:szCs w:val="24"/>
        </w:rPr>
        <w:t xml:space="preserve">process </w:t>
      </w:r>
      <w:r w:rsidRPr="00CE4DF5">
        <w:rPr>
          <w:rFonts w:cstheme="minorHAnsi"/>
          <w:color w:val="000000"/>
          <w:sz w:val="24"/>
          <w:szCs w:val="24"/>
        </w:rPr>
        <w:t>to</w:t>
      </w:r>
      <w:r>
        <w:rPr>
          <w:rFonts w:cstheme="minorHAnsi"/>
          <w:color w:val="000000"/>
          <w:sz w:val="24"/>
          <w:szCs w:val="24"/>
        </w:rPr>
        <w:t xml:space="preserve"> </w:t>
      </w:r>
      <w:hyperlink r:id="rId9" w:history="1">
        <w:r w:rsidRPr="00D84EBB">
          <w:rPr>
            <w:rStyle w:val="Hyperlink"/>
            <w:rFonts w:cstheme="minorHAnsi"/>
            <w:sz w:val="24"/>
            <w:szCs w:val="24"/>
          </w:rPr>
          <w:t>appointments@ag.gov.au</w:t>
        </w:r>
      </w:hyperlink>
      <w:r>
        <w:rPr>
          <w:rFonts w:cstheme="minorHAnsi"/>
          <w:color w:val="000000"/>
          <w:sz w:val="24"/>
          <w:szCs w:val="24"/>
        </w:rPr>
        <w:t xml:space="preserve">. </w:t>
      </w:r>
    </w:p>
    <w:p w:rsidR="00176718" w:rsidRPr="00CE4DF5" w:rsidRDefault="00176718" w:rsidP="00176718">
      <w:pPr>
        <w:pStyle w:val="Heading2"/>
      </w:pPr>
      <w:r w:rsidRPr="00CE4DF5">
        <w:t>Assessment process</w:t>
      </w:r>
    </w:p>
    <w:p w:rsidR="00176718" w:rsidRPr="00AA45D0" w:rsidRDefault="00176718" w:rsidP="00176718">
      <w:pPr>
        <w:rPr>
          <w:rFonts w:asciiTheme="minorHAnsi" w:hAnsiTheme="minorHAnsi" w:cstheme="minorHAnsi"/>
          <w:color w:val="000000"/>
          <w:sz w:val="24"/>
          <w:szCs w:val="24"/>
        </w:rPr>
      </w:pPr>
      <w:r>
        <w:rPr>
          <w:rFonts w:asciiTheme="minorHAnsi" w:hAnsiTheme="minorHAnsi" w:cstheme="minorHAnsi"/>
          <w:color w:val="000000"/>
          <w:sz w:val="24"/>
          <w:szCs w:val="24"/>
        </w:rPr>
        <w:t>A</w:t>
      </w:r>
      <w:r w:rsidRPr="00AA45D0">
        <w:rPr>
          <w:rFonts w:asciiTheme="minorHAnsi" w:hAnsiTheme="minorHAnsi" w:cstheme="minorHAnsi"/>
          <w:color w:val="000000"/>
          <w:sz w:val="24"/>
          <w:szCs w:val="24"/>
        </w:rPr>
        <w:t xml:space="preserve"> panel </w:t>
      </w:r>
      <w:r>
        <w:rPr>
          <w:rFonts w:asciiTheme="minorHAnsi" w:hAnsiTheme="minorHAnsi" w:cstheme="minorHAnsi"/>
          <w:color w:val="000000"/>
          <w:sz w:val="24"/>
          <w:szCs w:val="24"/>
        </w:rPr>
        <w:t xml:space="preserve">will assess the </w:t>
      </w:r>
      <w:r w:rsidRPr="00AA45D0">
        <w:rPr>
          <w:rFonts w:asciiTheme="minorHAnsi" w:hAnsiTheme="minorHAnsi" w:cstheme="minorHAnsi"/>
          <w:color w:val="000000"/>
          <w:sz w:val="24"/>
          <w:szCs w:val="24"/>
        </w:rPr>
        <w:t xml:space="preserve">written application. </w:t>
      </w:r>
      <w:r>
        <w:rPr>
          <w:rFonts w:asciiTheme="minorHAnsi" w:hAnsiTheme="minorHAnsi" w:cstheme="minorHAnsi"/>
          <w:color w:val="000000"/>
          <w:sz w:val="24"/>
          <w:szCs w:val="24"/>
        </w:rPr>
        <w:t xml:space="preserve">The </w:t>
      </w:r>
      <w:r w:rsidRPr="00AA45D0">
        <w:rPr>
          <w:rFonts w:asciiTheme="minorHAnsi" w:hAnsiTheme="minorHAnsi" w:cstheme="minorHAnsi"/>
          <w:color w:val="000000"/>
          <w:sz w:val="24"/>
          <w:szCs w:val="24"/>
        </w:rPr>
        <w:t xml:space="preserve">panel </w:t>
      </w:r>
      <w:r>
        <w:rPr>
          <w:rFonts w:asciiTheme="minorHAnsi" w:hAnsiTheme="minorHAnsi" w:cstheme="minorHAnsi"/>
          <w:color w:val="000000"/>
          <w:sz w:val="24"/>
          <w:szCs w:val="24"/>
        </w:rPr>
        <w:t xml:space="preserve">will further assess shortlisted applicants </w:t>
      </w:r>
      <w:r w:rsidRPr="00AA45D0">
        <w:rPr>
          <w:rFonts w:asciiTheme="minorHAnsi" w:hAnsiTheme="minorHAnsi" w:cstheme="minorHAnsi"/>
          <w:color w:val="000000"/>
          <w:sz w:val="24"/>
          <w:szCs w:val="24"/>
        </w:rPr>
        <w:t xml:space="preserve">at interview.  </w:t>
      </w:r>
    </w:p>
    <w:p w:rsidR="00176718" w:rsidRPr="00AA45D0" w:rsidRDefault="00176718" w:rsidP="00176718">
      <w:pPr>
        <w:rPr>
          <w:rFonts w:asciiTheme="minorHAnsi" w:hAnsiTheme="minorHAnsi" w:cstheme="minorHAnsi"/>
          <w:color w:val="000000"/>
          <w:sz w:val="24"/>
          <w:szCs w:val="24"/>
        </w:rPr>
      </w:pPr>
      <w:r>
        <w:rPr>
          <w:rFonts w:asciiTheme="minorHAnsi" w:hAnsiTheme="minorHAnsi" w:cstheme="minorHAnsi"/>
          <w:color w:val="000000"/>
          <w:sz w:val="24"/>
          <w:szCs w:val="24"/>
        </w:rPr>
        <w:t xml:space="preserve">The panel will provide a list of suitable candidates to the </w:t>
      </w:r>
      <w:r w:rsidRPr="00AA45D0">
        <w:rPr>
          <w:rFonts w:asciiTheme="minorHAnsi" w:hAnsiTheme="minorHAnsi" w:cstheme="minorHAnsi"/>
          <w:color w:val="000000"/>
          <w:sz w:val="24"/>
          <w:szCs w:val="24"/>
        </w:rPr>
        <w:t>Attorney-General for consideration and recommendation to the Governor-General for appointment.</w:t>
      </w:r>
    </w:p>
    <w:p w:rsidR="00176718" w:rsidRPr="00EC6691" w:rsidRDefault="00176718" w:rsidP="00176718">
      <w:pPr>
        <w:pStyle w:val="Heading2"/>
      </w:pPr>
      <w:r w:rsidRPr="00EC6691">
        <w:t>Communication</w:t>
      </w:r>
    </w:p>
    <w:p w:rsidR="00176718" w:rsidRPr="00AA45D0" w:rsidRDefault="00176718" w:rsidP="00176718">
      <w:pPr>
        <w:rPr>
          <w:rFonts w:asciiTheme="minorHAnsi" w:hAnsiTheme="minorHAnsi" w:cstheme="minorHAnsi"/>
          <w:color w:val="FF0000"/>
          <w:sz w:val="24"/>
          <w:szCs w:val="24"/>
        </w:rPr>
      </w:pPr>
      <w:bookmarkStart w:id="4" w:name="_Hlk185331037"/>
      <w:r w:rsidRPr="00AA45D0">
        <w:rPr>
          <w:rFonts w:asciiTheme="minorHAnsi" w:hAnsiTheme="minorHAnsi" w:cstheme="minorHAnsi"/>
          <w:sz w:val="24"/>
          <w:szCs w:val="24"/>
        </w:rPr>
        <w:t xml:space="preserve">Applicants will receive initial </w:t>
      </w:r>
      <w:r w:rsidRPr="00AA45D0">
        <w:rPr>
          <w:rFonts w:asciiTheme="minorHAnsi" w:hAnsiTheme="minorHAnsi" w:cstheme="minorHAnsi"/>
          <w:color w:val="000000"/>
          <w:sz w:val="24"/>
          <w:szCs w:val="24"/>
        </w:rPr>
        <w:t>advice</w:t>
      </w:r>
      <w:r w:rsidRPr="00AA45D0">
        <w:rPr>
          <w:rFonts w:asciiTheme="minorHAnsi" w:hAnsiTheme="minorHAnsi" w:cstheme="minorHAnsi"/>
          <w:sz w:val="24"/>
          <w:szCs w:val="24"/>
        </w:rPr>
        <w:t xml:space="preserve"> and </w:t>
      </w:r>
      <w:r w:rsidRPr="00AA45D0">
        <w:rPr>
          <w:rFonts w:asciiTheme="minorHAnsi" w:hAnsiTheme="minorHAnsi" w:cstheme="minorHAnsi"/>
          <w:color w:val="000000"/>
          <w:sz w:val="24"/>
          <w:szCs w:val="24"/>
        </w:rPr>
        <w:t>communication</w:t>
      </w:r>
      <w:r w:rsidRPr="00AA45D0">
        <w:rPr>
          <w:rFonts w:asciiTheme="minorHAnsi" w:hAnsiTheme="minorHAnsi" w:cstheme="minorHAnsi"/>
          <w:sz w:val="24"/>
          <w:szCs w:val="24"/>
        </w:rPr>
        <w:t xml:space="preserve"> by email. Please ensure the email address you provide is correct. We recommend using an email address that ensures you do not miss relevant updates or invitations – and please regularly check your junk or spam folders.</w:t>
      </w:r>
      <w:bookmarkEnd w:id="4"/>
    </w:p>
    <w:p w:rsidR="00176718" w:rsidRPr="00176718" w:rsidRDefault="00176718" w:rsidP="00176718">
      <w:pPr>
        <w:spacing w:before="240"/>
        <w:contextualSpacing/>
        <w:rPr>
          <w:rFonts w:asciiTheme="minorHAnsi" w:hAnsiTheme="minorHAnsi" w:cstheme="minorHAnsi"/>
        </w:rPr>
      </w:pPr>
      <w:bookmarkStart w:id="5" w:name="_GoBack"/>
      <w:bookmarkEnd w:id="5"/>
    </w:p>
    <w:sectPr w:rsidR="00176718" w:rsidRPr="001767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10CB5"/>
    <w:multiLevelType w:val="hybridMultilevel"/>
    <w:tmpl w:val="7A4C2AAA"/>
    <w:lvl w:ilvl="0" w:tplc="B978D866">
      <w:start w:val="1"/>
      <w:numFmt w:val="bullet"/>
      <w:lvlText w:val=""/>
      <w:lvlJc w:val="left"/>
      <w:pPr>
        <w:ind w:left="720" w:hanging="360"/>
      </w:pPr>
      <w:rPr>
        <w:rFonts w:ascii="Symbol" w:hAnsi="Symbol" w:hint="default"/>
        <w:color w:val="auto"/>
      </w:rPr>
    </w:lvl>
    <w:lvl w:ilvl="1" w:tplc="7E9A8248">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102F60"/>
    <w:multiLevelType w:val="hybridMultilevel"/>
    <w:tmpl w:val="77EC3B10"/>
    <w:lvl w:ilvl="0" w:tplc="B978D866">
      <w:start w:val="1"/>
      <w:numFmt w:val="bullet"/>
      <w:lvlText w:val=""/>
      <w:lvlJc w:val="left"/>
      <w:pPr>
        <w:ind w:left="720" w:hanging="360"/>
      </w:pPr>
      <w:rPr>
        <w:rFonts w:ascii="Symbol" w:hAnsi="Symbol" w:hint="default"/>
        <w:color w:val="auto"/>
      </w:rPr>
    </w:lvl>
    <w:lvl w:ilvl="1" w:tplc="7E9A8248">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D73B39"/>
    <w:multiLevelType w:val="hybridMultilevel"/>
    <w:tmpl w:val="5E7AE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E22E32"/>
    <w:multiLevelType w:val="hybridMultilevel"/>
    <w:tmpl w:val="CA3CE48C"/>
    <w:lvl w:ilvl="0" w:tplc="B978D866">
      <w:start w:val="1"/>
      <w:numFmt w:val="bullet"/>
      <w:lvlText w:val=""/>
      <w:lvlJc w:val="left"/>
      <w:pPr>
        <w:ind w:left="720" w:hanging="360"/>
      </w:pPr>
      <w:rPr>
        <w:rFonts w:ascii="Symbol" w:hAnsi="Symbol" w:hint="default"/>
        <w:color w:val="auto"/>
      </w:rPr>
    </w:lvl>
    <w:lvl w:ilvl="1" w:tplc="7E9A8248">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F01881"/>
    <w:multiLevelType w:val="hybridMultilevel"/>
    <w:tmpl w:val="8FF08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4155494"/>
    <w:multiLevelType w:val="hybridMultilevel"/>
    <w:tmpl w:val="F8822EE6"/>
    <w:lvl w:ilvl="0" w:tplc="B978D866">
      <w:start w:val="1"/>
      <w:numFmt w:val="bullet"/>
      <w:lvlText w:val=""/>
      <w:lvlJc w:val="left"/>
      <w:pPr>
        <w:ind w:left="720" w:hanging="360"/>
      </w:pPr>
      <w:rPr>
        <w:rFonts w:ascii="Symbol" w:hAnsi="Symbol" w:hint="default"/>
        <w:color w:val="auto"/>
      </w:rPr>
    </w:lvl>
    <w:lvl w:ilvl="1" w:tplc="7E9A8248">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01B6BA3"/>
    <w:multiLevelType w:val="hybridMultilevel"/>
    <w:tmpl w:val="535EA918"/>
    <w:lvl w:ilvl="0" w:tplc="B978D866">
      <w:start w:val="1"/>
      <w:numFmt w:val="bullet"/>
      <w:lvlText w:val=""/>
      <w:lvlJc w:val="left"/>
      <w:pPr>
        <w:ind w:left="720" w:hanging="360"/>
      </w:pPr>
      <w:rPr>
        <w:rFonts w:ascii="Symbol" w:hAnsi="Symbol" w:hint="default"/>
        <w:color w:val="auto"/>
      </w:rPr>
    </w:lvl>
    <w:lvl w:ilvl="1" w:tplc="7E9A8248">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E405F4"/>
    <w:multiLevelType w:val="hybridMultilevel"/>
    <w:tmpl w:val="2AA2E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33C46E9"/>
    <w:multiLevelType w:val="hybridMultilevel"/>
    <w:tmpl w:val="15B2B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65C3245"/>
    <w:multiLevelType w:val="hybridMultilevel"/>
    <w:tmpl w:val="68144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7EF0A7B"/>
    <w:multiLevelType w:val="hybridMultilevel"/>
    <w:tmpl w:val="132616CC"/>
    <w:lvl w:ilvl="0" w:tplc="B978D866">
      <w:start w:val="1"/>
      <w:numFmt w:val="bullet"/>
      <w:lvlText w:val=""/>
      <w:lvlJc w:val="left"/>
      <w:pPr>
        <w:ind w:left="720" w:hanging="360"/>
      </w:pPr>
      <w:rPr>
        <w:rFonts w:ascii="Symbol" w:hAnsi="Symbol" w:hint="default"/>
        <w:color w:val="auto"/>
      </w:rPr>
    </w:lvl>
    <w:lvl w:ilvl="1" w:tplc="7E9A8248">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9CB3624"/>
    <w:multiLevelType w:val="hybridMultilevel"/>
    <w:tmpl w:val="9DDED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8"/>
  </w:num>
  <w:num w:numId="4">
    <w:abstractNumId w:val="10"/>
  </w:num>
  <w:num w:numId="5">
    <w:abstractNumId w:val="7"/>
  </w:num>
  <w:num w:numId="6">
    <w:abstractNumId w:val="9"/>
  </w:num>
  <w:num w:numId="7">
    <w:abstractNumId w:val="1"/>
  </w:num>
  <w:num w:numId="8">
    <w:abstractNumId w:val="3"/>
  </w:num>
  <w:num w:numId="9">
    <w:abstractNumId w:val="5"/>
  </w:num>
  <w:num w:numId="10">
    <w:abstractNumId w:val="0"/>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718"/>
    <w:rsid w:val="00176718"/>
    <w:rsid w:val="00BA16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9F5E1"/>
  <w15:chartTrackingRefBased/>
  <w15:docId w15:val="{A4262ACA-26F6-410C-816E-C09C500F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6718"/>
    <w:pPr>
      <w:spacing w:after="200" w:line="276" w:lineRule="auto"/>
    </w:pPr>
    <w:rPr>
      <w:rFonts w:ascii="Calibri" w:eastAsia="Calibri" w:hAnsi="Calibri" w:cs="Calibri"/>
      <w:w w:val="105"/>
      <w:kern w:val="40"/>
    </w:rPr>
  </w:style>
  <w:style w:type="paragraph" w:styleId="Heading1">
    <w:name w:val="heading 1"/>
    <w:basedOn w:val="Normal"/>
    <w:next w:val="Normal"/>
    <w:link w:val="Heading1Char"/>
    <w:uiPriority w:val="9"/>
    <w:qFormat/>
    <w:rsid w:val="00176718"/>
    <w:pPr>
      <w:keepNext/>
      <w:spacing w:after="0" w:line="240" w:lineRule="auto"/>
      <w:jc w:val="right"/>
      <w:outlineLvl w:val="0"/>
    </w:pPr>
    <w:rPr>
      <w:rFonts w:eastAsia="SimSun" w:cs="Angsana New"/>
      <w:b/>
      <w:bCs/>
      <w:color w:val="404040"/>
      <w:kern w:val="32"/>
      <w:sz w:val="52"/>
      <w:szCs w:val="52"/>
    </w:rPr>
  </w:style>
  <w:style w:type="paragraph" w:styleId="Heading2">
    <w:name w:val="heading 2"/>
    <w:basedOn w:val="Normal"/>
    <w:next w:val="Normal"/>
    <w:link w:val="Heading2Char"/>
    <w:uiPriority w:val="9"/>
    <w:unhideWhenUsed/>
    <w:qFormat/>
    <w:rsid w:val="00176718"/>
    <w:pPr>
      <w:keepNext/>
      <w:spacing w:before="240" w:after="60" w:line="240" w:lineRule="auto"/>
      <w:outlineLvl w:val="1"/>
    </w:pPr>
    <w:rPr>
      <w:rFonts w:eastAsia="SimSun" w:cs="Angsana New"/>
      <w:b/>
      <w:bCs/>
      <w:iCs/>
      <w:color w:val="4D738A"/>
      <w:sz w:val="40"/>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6718"/>
    <w:rPr>
      <w:rFonts w:ascii="Calibri" w:eastAsia="SimSun" w:hAnsi="Calibri" w:cs="Angsana New"/>
      <w:b/>
      <w:bCs/>
      <w:color w:val="404040"/>
      <w:w w:val="105"/>
      <w:kern w:val="32"/>
      <w:sz w:val="52"/>
      <w:szCs w:val="52"/>
    </w:rPr>
  </w:style>
  <w:style w:type="character" w:customStyle="1" w:styleId="Heading2Char">
    <w:name w:val="Heading 2 Char"/>
    <w:basedOn w:val="DefaultParagraphFont"/>
    <w:link w:val="Heading2"/>
    <w:uiPriority w:val="9"/>
    <w:rsid w:val="00176718"/>
    <w:rPr>
      <w:rFonts w:ascii="Calibri" w:eastAsia="SimSun" w:hAnsi="Calibri" w:cs="Angsana New"/>
      <w:b/>
      <w:bCs/>
      <w:iCs/>
      <w:color w:val="4D738A"/>
      <w:w w:val="105"/>
      <w:kern w:val="40"/>
      <w:sz w:val="40"/>
      <w:szCs w:val="48"/>
    </w:rPr>
  </w:style>
  <w:style w:type="paragraph" w:styleId="ListParagraph">
    <w:name w:val="List Paragraph"/>
    <w:aliases w:val="Bullet point,Bullet- First level,Bulleted Para,Bullets,CV text,Dot pt,F5 List Paragraph,Figure_name,FooterText,L,List NUmber,List Paragraph Number,List Paragraph1,List Paragraph11,NFP GP Bulleted List,bullet point list,lp1,Recommendation"/>
    <w:basedOn w:val="Normal"/>
    <w:link w:val="ListParagraphChar"/>
    <w:uiPriority w:val="34"/>
    <w:qFormat/>
    <w:rsid w:val="00176718"/>
    <w:pPr>
      <w:widowControl w:val="0"/>
      <w:autoSpaceDE w:val="0"/>
      <w:autoSpaceDN w:val="0"/>
      <w:adjustRightInd w:val="0"/>
      <w:spacing w:after="0" w:line="240" w:lineRule="auto"/>
    </w:pPr>
    <w:rPr>
      <w:rFonts w:ascii="Times New Roman" w:eastAsia="Times New Roman" w:hAnsi="Times New Roman" w:cs="Times New Roman"/>
      <w:w w:val="100"/>
      <w:kern w:val="0"/>
      <w:sz w:val="24"/>
      <w:szCs w:val="24"/>
      <w:lang w:eastAsia="en-AU"/>
    </w:rPr>
  </w:style>
  <w:style w:type="character" w:customStyle="1" w:styleId="ListParagraphChar">
    <w:name w:val="List Paragraph Char"/>
    <w:aliases w:val="Bullet point Char,Bullet- First level Char,Bulleted Para Char,Bullets Char,CV text Char,Dot pt Char,F5 List Paragraph Char,Figure_name Char,FooterText Char,L Char,List NUmber Char,List Paragraph Number Char,List Paragraph1 Char"/>
    <w:basedOn w:val="DefaultParagraphFont"/>
    <w:link w:val="ListParagraph"/>
    <w:uiPriority w:val="34"/>
    <w:qFormat/>
    <w:locked/>
    <w:rsid w:val="00176718"/>
    <w:rPr>
      <w:rFonts w:ascii="Times New Roman" w:eastAsia="Times New Roman" w:hAnsi="Times New Roman" w:cs="Times New Roman"/>
      <w:sz w:val="24"/>
      <w:szCs w:val="24"/>
      <w:lang w:eastAsia="en-AU"/>
    </w:rPr>
  </w:style>
  <w:style w:type="character" w:styleId="Hyperlink">
    <w:name w:val="Hyperlink"/>
    <w:uiPriority w:val="99"/>
    <w:unhideWhenUsed/>
    <w:rsid w:val="00176718"/>
    <w:rPr>
      <w:rFonts w:cs="Times New Roman"/>
      <w:color w:val="0000FF"/>
      <w:u w:val="single"/>
    </w:rPr>
  </w:style>
  <w:style w:type="character" w:styleId="FollowedHyperlink">
    <w:name w:val="FollowedHyperlink"/>
    <w:basedOn w:val="DefaultParagraphFont"/>
    <w:uiPriority w:val="99"/>
    <w:semiHidden/>
    <w:unhideWhenUsed/>
    <w:rsid w:val="00176718"/>
    <w:rPr>
      <w:color w:val="954F72" w:themeColor="followedHyperlink"/>
      <w:u w:val="single"/>
    </w:rPr>
  </w:style>
  <w:style w:type="character" w:styleId="UnresolvedMention">
    <w:name w:val="Unresolved Mention"/>
    <w:basedOn w:val="DefaultParagraphFont"/>
    <w:uiPriority w:val="99"/>
    <w:semiHidden/>
    <w:unhideWhenUsed/>
    <w:rsid w:val="001767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gcareers.nga.net.au/?jati=6736A459-529A-16A8-EB44-E3A6EEF97098" TargetMode="External"/><Relationship Id="rId3" Type="http://schemas.openxmlformats.org/officeDocument/2006/relationships/settings" Target="settings.xml"/><Relationship Id="rId7" Type="http://schemas.openxmlformats.org/officeDocument/2006/relationships/hyperlink" Target="https://www.remtribunal.gov.au/document-library-search/remuneration-tribunal-remuneration-and-allowances-holders-full-time-public-office-determination-2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gsva.gov.au/" TargetMode="External"/><Relationship Id="rId11" Type="http://schemas.openxmlformats.org/officeDocument/2006/relationships/theme" Target="theme/theme1.xml"/><Relationship Id="rId5" Type="http://schemas.openxmlformats.org/officeDocument/2006/relationships/hyperlink" Target="https://www.oaic.gov.a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ppointments@ag.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992</Words>
  <Characters>5774</Characters>
  <Application>Microsoft Office Word</Application>
  <DocSecurity>0</DocSecurity>
  <Lines>146</Lines>
  <Paragraphs>93</Paragraphs>
  <ScaleCrop>false</ScaleCrop>
  <Company>Attorney-General's Department</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Taylor</dc:creator>
  <cp:keywords/>
  <dc:description/>
  <cp:lastModifiedBy>Thompson, Taylor</cp:lastModifiedBy>
  <cp:revision>1</cp:revision>
  <dcterms:created xsi:type="dcterms:W3CDTF">2025-03-06T03:20:00Z</dcterms:created>
  <dcterms:modified xsi:type="dcterms:W3CDTF">2025-03-06T03:29:00Z</dcterms:modified>
</cp:coreProperties>
</file>